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E2" w:rsidRPr="00C36631" w:rsidRDefault="001B6DE2" w:rsidP="001B6DE2">
      <w:pPr>
        <w:tabs>
          <w:tab w:val="left" w:pos="4678"/>
        </w:tabs>
        <w:spacing w:line="240" w:lineRule="auto"/>
        <w:ind w:right="-143"/>
        <w:contextualSpacing/>
        <w:jc w:val="center"/>
        <w:rPr>
          <w:rFonts w:ascii="Times New Roman" w:eastAsia="Times New Roman" w:hAnsi="Times New Roman" w:cs="Times New Roman"/>
          <w:color w:val="000000"/>
          <w:lang w:eastAsia="ru-RU"/>
        </w:rPr>
      </w:pPr>
      <w:r w:rsidRPr="00C36631">
        <w:rPr>
          <w:rFonts w:ascii="Times New Roman" w:eastAsia="Times New Roman" w:hAnsi="Times New Roman" w:cs="Times New Roman"/>
          <w:color w:val="000000"/>
          <w:lang w:eastAsia="ru-RU"/>
        </w:rPr>
        <w:t>МИНИСТЕРСТВО НАУ</w:t>
      </w:r>
      <w:r w:rsidRPr="00C36631">
        <w:rPr>
          <w:rFonts w:ascii="Times New Roman" w:eastAsia="Times New Roman" w:hAnsi="Times New Roman" w:cs="Times New Roman"/>
          <w:caps/>
          <w:color w:val="000000"/>
          <w:lang w:eastAsia="ru-RU"/>
        </w:rPr>
        <w:t>КИ и высшего</w:t>
      </w:r>
      <w:r w:rsidRPr="00C36631">
        <w:rPr>
          <w:rFonts w:ascii="Times New Roman" w:eastAsia="Times New Roman" w:hAnsi="Times New Roman" w:cs="Times New Roman"/>
          <w:color w:val="000000"/>
          <w:lang w:eastAsia="ru-RU"/>
        </w:rPr>
        <w:t xml:space="preserve"> ОБРАЗОВАНИЯ РОССИЙСКОЙ ФЕДЕРАЦИИ</w:t>
      </w:r>
    </w:p>
    <w:p w:rsidR="001B6DE2" w:rsidRPr="00C36631" w:rsidRDefault="001B6DE2" w:rsidP="001B6DE2">
      <w:pPr>
        <w:autoSpaceDE w:val="0"/>
        <w:autoSpaceDN w:val="0"/>
        <w:adjustRightInd w:val="0"/>
        <w:spacing w:line="240" w:lineRule="auto"/>
        <w:contextualSpacing/>
        <w:jc w:val="center"/>
        <w:rPr>
          <w:rFonts w:ascii="Times New Roman" w:eastAsia="Times New Roman" w:hAnsi="Times New Roman" w:cs="Times New Roman"/>
          <w:lang w:eastAsia="ru-RU"/>
        </w:rPr>
      </w:pPr>
      <w:r w:rsidRPr="00C36631">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rsidR="001B6DE2" w:rsidRPr="00C36631" w:rsidRDefault="001B6DE2" w:rsidP="001B6DE2">
      <w:pPr>
        <w:autoSpaceDE w:val="0"/>
        <w:autoSpaceDN w:val="0"/>
        <w:adjustRightInd w:val="0"/>
        <w:spacing w:line="240" w:lineRule="auto"/>
        <w:contextualSpacing/>
        <w:jc w:val="center"/>
        <w:rPr>
          <w:rFonts w:ascii="Times New Roman" w:eastAsia="Times New Roman" w:hAnsi="Times New Roman" w:cs="Times New Roman"/>
          <w:b/>
          <w:lang w:eastAsia="ru-RU"/>
        </w:rPr>
      </w:pPr>
      <w:r w:rsidRPr="00C36631">
        <w:rPr>
          <w:rFonts w:ascii="Times New Roman" w:eastAsia="Times New Roman" w:hAnsi="Times New Roman" w:cs="Times New Roman"/>
          <w:color w:val="000000"/>
          <w:lang w:eastAsia="ru-RU"/>
        </w:rPr>
        <w:t>высшего образования</w:t>
      </w:r>
    </w:p>
    <w:p w:rsidR="001B6DE2" w:rsidRPr="00C36631" w:rsidRDefault="001B6DE2" w:rsidP="001B6DE2">
      <w:pPr>
        <w:autoSpaceDE w:val="0"/>
        <w:autoSpaceDN w:val="0"/>
        <w:adjustRightInd w:val="0"/>
        <w:spacing w:line="240" w:lineRule="auto"/>
        <w:contextualSpacing/>
        <w:jc w:val="center"/>
        <w:rPr>
          <w:rFonts w:ascii="Times New Roman" w:eastAsia="Times New Roman" w:hAnsi="Times New Roman" w:cs="Times New Roman"/>
          <w:b/>
          <w:sz w:val="28"/>
          <w:szCs w:val="28"/>
          <w:lang w:eastAsia="ru-RU"/>
        </w:rPr>
      </w:pPr>
      <w:r w:rsidRPr="00C36631">
        <w:rPr>
          <w:rFonts w:ascii="Times New Roman" w:eastAsia="Times New Roman" w:hAnsi="Times New Roman" w:cs="Times New Roman"/>
          <w:b/>
          <w:color w:val="000000"/>
          <w:sz w:val="28"/>
          <w:szCs w:val="28"/>
          <w:lang w:eastAsia="ru-RU"/>
        </w:rPr>
        <w:t>«КУБАНСКИЙ ГОСУДАРСТВЕННЫЙ УНИВЕРСИТЕТ»</w:t>
      </w:r>
    </w:p>
    <w:p w:rsidR="001B6DE2" w:rsidRPr="00C36631" w:rsidRDefault="001B6DE2" w:rsidP="001B6DE2">
      <w:pPr>
        <w:autoSpaceDE w:val="0"/>
        <w:autoSpaceDN w:val="0"/>
        <w:adjustRightInd w:val="0"/>
        <w:spacing w:line="240" w:lineRule="auto"/>
        <w:contextualSpacing/>
        <w:jc w:val="center"/>
        <w:rPr>
          <w:rFonts w:ascii="Times New Roman" w:eastAsia="Times New Roman" w:hAnsi="Times New Roman" w:cs="Times New Roman"/>
          <w:b/>
          <w:color w:val="000000"/>
          <w:sz w:val="28"/>
          <w:szCs w:val="28"/>
          <w:lang w:eastAsia="ru-RU"/>
        </w:rPr>
      </w:pPr>
      <w:r w:rsidRPr="00C36631">
        <w:rPr>
          <w:rFonts w:ascii="Times New Roman" w:eastAsia="Times New Roman" w:hAnsi="Times New Roman" w:cs="Times New Roman"/>
          <w:b/>
          <w:color w:val="000000"/>
          <w:sz w:val="28"/>
          <w:szCs w:val="28"/>
          <w:lang w:eastAsia="ru-RU"/>
        </w:rPr>
        <w:t>(ФГБОУ ВО «КубГУ»)</w:t>
      </w:r>
    </w:p>
    <w:p w:rsidR="001B6DE2" w:rsidRPr="00C36631" w:rsidRDefault="001B6DE2" w:rsidP="001B6DE2">
      <w:pPr>
        <w:autoSpaceDE w:val="0"/>
        <w:autoSpaceDN w:val="0"/>
        <w:adjustRightInd w:val="0"/>
        <w:spacing w:line="240" w:lineRule="auto"/>
        <w:contextualSpacing/>
        <w:jc w:val="center"/>
        <w:rPr>
          <w:rFonts w:ascii="Times New Roman" w:eastAsia="Times New Roman" w:hAnsi="Times New Roman" w:cs="Times New Roman"/>
          <w:b/>
          <w:color w:val="000000"/>
          <w:sz w:val="28"/>
          <w:szCs w:val="28"/>
          <w:lang w:eastAsia="ru-RU"/>
        </w:rPr>
      </w:pPr>
    </w:p>
    <w:p w:rsidR="001B6DE2" w:rsidRPr="00C36631" w:rsidRDefault="001B6DE2" w:rsidP="001B6DE2">
      <w:pPr>
        <w:autoSpaceDE w:val="0"/>
        <w:autoSpaceDN w:val="0"/>
        <w:adjustRightInd w:val="0"/>
        <w:spacing w:line="240" w:lineRule="auto"/>
        <w:contextualSpacing/>
        <w:jc w:val="center"/>
        <w:rPr>
          <w:rFonts w:ascii="Times New Roman" w:eastAsia="Times New Roman" w:hAnsi="Times New Roman" w:cs="Times New Roman"/>
          <w:b/>
          <w:color w:val="000000"/>
          <w:sz w:val="28"/>
          <w:szCs w:val="28"/>
          <w:lang w:eastAsia="ru-RU"/>
        </w:rPr>
      </w:pPr>
      <w:r w:rsidRPr="00C36631">
        <w:rPr>
          <w:rFonts w:ascii="Times New Roman" w:eastAsia="Times New Roman" w:hAnsi="Times New Roman" w:cs="Times New Roman"/>
          <w:b/>
          <w:color w:val="000000"/>
          <w:sz w:val="28"/>
          <w:szCs w:val="28"/>
          <w:lang w:eastAsia="ru-RU"/>
        </w:rPr>
        <w:t>Экономический факультет</w:t>
      </w:r>
    </w:p>
    <w:p w:rsidR="001B6DE2" w:rsidRPr="00C36631" w:rsidRDefault="001B6DE2" w:rsidP="001B6DE2">
      <w:pPr>
        <w:autoSpaceDE w:val="0"/>
        <w:autoSpaceDN w:val="0"/>
        <w:adjustRightInd w:val="0"/>
        <w:spacing w:line="240" w:lineRule="auto"/>
        <w:contextualSpacing/>
        <w:jc w:val="center"/>
        <w:rPr>
          <w:rFonts w:ascii="Times New Roman" w:eastAsia="Times New Roman" w:hAnsi="Times New Roman" w:cs="Times New Roman"/>
          <w:b/>
          <w:color w:val="000000"/>
          <w:sz w:val="28"/>
          <w:szCs w:val="28"/>
          <w:lang w:eastAsia="ru-RU"/>
        </w:rPr>
      </w:pPr>
      <w:r w:rsidRPr="00C36631">
        <w:rPr>
          <w:rFonts w:ascii="Times New Roman" w:eastAsia="Times New Roman" w:hAnsi="Times New Roman" w:cs="Times New Roman"/>
          <w:b/>
          <w:color w:val="000000"/>
          <w:sz w:val="28"/>
          <w:szCs w:val="28"/>
          <w:lang w:eastAsia="ru-RU"/>
        </w:rPr>
        <w:t>Кафедра мировой экономики и менеджмента</w:t>
      </w:r>
    </w:p>
    <w:p w:rsidR="001B6DE2" w:rsidRPr="00C36631" w:rsidRDefault="001B6DE2" w:rsidP="001B6DE2">
      <w:pPr>
        <w:autoSpaceDE w:val="0"/>
        <w:autoSpaceDN w:val="0"/>
        <w:adjustRightInd w:val="0"/>
        <w:jc w:val="center"/>
        <w:rPr>
          <w:rFonts w:ascii="Times New Roman" w:eastAsia="Times New Roman" w:hAnsi="Times New Roman" w:cs="Times New Roman"/>
          <w:b/>
          <w:color w:val="000000"/>
          <w:szCs w:val="28"/>
          <w:lang w:eastAsia="ru-RU"/>
        </w:rPr>
      </w:pPr>
    </w:p>
    <w:p w:rsidR="001B6DE2" w:rsidRPr="00C36631" w:rsidRDefault="001B6DE2" w:rsidP="001B6DE2">
      <w:pPr>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Допустить к защите</w:t>
      </w:r>
    </w:p>
    <w:p w:rsidR="001B6DE2" w:rsidRPr="00C36631" w:rsidRDefault="001B6DE2" w:rsidP="001B6DE2">
      <w:pPr>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 xml:space="preserve">Заведующий кафедрой </w:t>
      </w:r>
    </w:p>
    <w:p w:rsidR="001B6DE2" w:rsidRPr="00C36631" w:rsidRDefault="001B6DE2" w:rsidP="001B6DE2">
      <w:pPr>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д-р экон. наук, проф.</w:t>
      </w:r>
    </w:p>
    <w:p w:rsidR="001B6DE2" w:rsidRPr="00C36631" w:rsidRDefault="001B6DE2" w:rsidP="001B6DE2">
      <w:pPr>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____________</w:t>
      </w:r>
      <w:r w:rsidRPr="00C36631">
        <w:rPr>
          <w:rFonts w:ascii="Times New Roman" w:eastAsia="Aptos" w:hAnsi="Times New Roman" w:cs="Times New Roman"/>
        </w:rPr>
        <w:t xml:space="preserve"> </w:t>
      </w:r>
      <w:r w:rsidRPr="00C36631">
        <w:rPr>
          <w:rFonts w:ascii="Times New Roman" w:eastAsia="Times New Roman" w:hAnsi="Times New Roman" w:cs="Times New Roman"/>
          <w:sz w:val="28"/>
          <w:szCs w:val="28"/>
          <w:lang w:eastAsia="ru-RU"/>
        </w:rPr>
        <w:t>И.В. Шевченко</w:t>
      </w:r>
    </w:p>
    <w:p w:rsidR="001B6DE2" w:rsidRPr="00C36631" w:rsidRDefault="001B6DE2" w:rsidP="001B6DE2">
      <w:pPr>
        <w:autoSpaceDE w:val="0"/>
        <w:autoSpaceDN w:val="0"/>
        <w:adjustRightInd w:val="0"/>
        <w:spacing w:line="240" w:lineRule="auto"/>
        <w:ind w:left="-1622" w:firstLine="6299"/>
        <w:contextualSpacing/>
        <w:rPr>
          <w:rFonts w:ascii="Times New Roman" w:eastAsia="Times New Roman" w:hAnsi="Times New Roman" w:cs="Times New Roman"/>
          <w:szCs w:val="20"/>
          <w:lang w:eastAsia="ru-RU"/>
        </w:rPr>
      </w:pPr>
      <w:r w:rsidRPr="00C36631">
        <w:rPr>
          <w:rFonts w:ascii="Times New Roman" w:eastAsia="Times New Roman" w:hAnsi="Times New Roman" w:cs="Times New Roman"/>
          <w:szCs w:val="20"/>
          <w:lang w:eastAsia="ru-RU"/>
        </w:rPr>
        <w:t xml:space="preserve">     (подпись)      </w:t>
      </w:r>
    </w:p>
    <w:p w:rsidR="001B6DE2" w:rsidRPr="00C36631" w:rsidRDefault="001B6DE2" w:rsidP="001B6DE2">
      <w:pPr>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___________________2024 г.</w:t>
      </w:r>
    </w:p>
    <w:p w:rsidR="001B6DE2" w:rsidRPr="00C36631" w:rsidRDefault="001B6DE2" w:rsidP="001B6DE2">
      <w:pPr>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Руководитель О</w:t>
      </w:r>
      <w:r>
        <w:rPr>
          <w:rFonts w:ascii="Times New Roman" w:eastAsia="Times New Roman" w:hAnsi="Times New Roman" w:cs="Times New Roman"/>
          <w:sz w:val="28"/>
          <w:szCs w:val="28"/>
          <w:lang w:eastAsia="ru-RU"/>
        </w:rPr>
        <w:t>ПОП</w:t>
      </w:r>
    </w:p>
    <w:p w:rsidR="001B6DE2" w:rsidRPr="00C36631" w:rsidRDefault="001B6DE2" w:rsidP="001B6DE2">
      <w:pPr>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д-р экон. наук, проф.</w:t>
      </w:r>
    </w:p>
    <w:p w:rsidR="001B6DE2" w:rsidRPr="00C36631" w:rsidRDefault="001B6DE2" w:rsidP="001B6DE2">
      <w:pPr>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____________</w:t>
      </w:r>
      <w:r w:rsidRPr="00C36631">
        <w:rPr>
          <w:rFonts w:ascii="Times New Roman" w:eastAsia="Aptos" w:hAnsi="Times New Roman" w:cs="Times New Roman"/>
        </w:rPr>
        <w:t xml:space="preserve"> </w:t>
      </w:r>
      <w:r w:rsidRPr="00C36631">
        <w:rPr>
          <w:rFonts w:ascii="Times New Roman" w:eastAsia="Times New Roman" w:hAnsi="Times New Roman" w:cs="Times New Roman"/>
          <w:sz w:val="28"/>
          <w:szCs w:val="28"/>
          <w:lang w:eastAsia="ru-RU"/>
        </w:rPr>
        <w:t>И.В. Шевченко</w:t>
      </w:r>
    </w:p>
    <w:p w:rsidR="001B6DE2" w:rsidRPr="00C36631" w:rsidRDefault="001B6DE2" w:rsidP="001B6DE2">
      <w:pPr>
        <w:autoSpaceDE w:val="0"/>
        <w:autoSpaceDN w:val="0"/>
        <w:adjustRightInd w:val="0"/>
        <w:spacing w:line="240" w:lineRule="auto"/>
        <w:ind w:left="-1622" w:firstLine="6299"/>
        <w:contextualSpacing/>
        <w:rPr>
          <w:rFonts w:ascii="Times New Roman" w:eastAsia="Times New Roman" w:hAnsi="Times New Roman" w:cs="Times New Roman"/>
          <w:szCs w:val="20"/>
          <w:lang w:eastAsia="ru-RU"/>
        </w:rPr>
      </w:pPr>
      <w:r w:rsidRPr="00C36631">
        <w:rPr>
          <w:rFonts w:ascii="Times New Roman" w:eastAsia="Times New Roman" w:hAnsi="Times New Roman" w:cs="Times New Roman"/>
          <w:szCs w:val="20"/>
          <w:lang w:eastAsia="ru-RU"/>
        </w:rPr>
        <w:t xml:space="preserve">     (подпись)      </w:t>
      </w:r>
    </w:p>
    <w:p w:rsidR="001B6DE2" w:rsidRPr="00C36631" w:rsidRDefault="001B6DE2" w:rsidP="001B6DE2">
      <w:pPr>
        <w:autoSpaceDE w:val="0"/>
        <w:autoSpaceDN w:val="0"/>
        <w:adjustRightInd w:val="0"/>
        <w:spacing w:line="240" w:lineRule="auto"/>
        <w:ind w:left="-1622" w:firstLine="6299"/>
        <w:contextualSpacing/>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___________________2024 г.</w:t>
      </w:r>
    </w:p>
    <w:p w:rsidR="001B6DE2" w:rsidRPr="00C36631" w:rsidRDefault="001B6DE2" w:rsidP="001B6DE2">
      <w:pPr>
        <w:autoSpaceDE w:val="0"/>
        <w:autoSpaceDN w:val="0"/>
        <w:adjustRightInd w:val="0"/>
        <w:spacing w:line="240" w:lineRule="auto"/>
        <w:contextualSpacing/>
        <w:jc w:val="center"/>
        <w:rPr>
          <w:rFonts w:ascii="Times New Roman" w:eastAsia="Times New Roman" w:hAnsi="Times New Roman" w:cs="Times New Roman"/>
          <w:b/>
          <w:sz w:val="28"/>
          <w:szCs w:val="28"/>
          <w:lang w:eastAsia="ru-RU"/>
        </w:rPr>
      </w:pPr>
    </w:p>
    <w:p w:rsidR="001B6DE2" w:rsidRPr="00C36631" w:rsidRDefault="001B6DE2" w:rsidP="001B6DE2">
      <w:pPr>
        <w:autoSpaceDE w:val="0"/>
        <w:autoSpaceDN w:val="0"/>
        <w:adjustRightInd w:val="0"/>
        <w:spacing w:line="240" w:lineRule="auto"/>
        <w:contextualSpacing/>
        <w:jc w:val="center"/>
        <w:rPr>
          <w:rFonts w:ascii="Times New Roman" w:eastAsia="Times New Roman" w:hAnsi="Times New Roman" w:cs="Times New Roman"/>
          <w:b/>
          <w:sz w:val="28"/>
          <w:szCs w:val="28"/>
          <w:lang w:eastAsia="ru-RU"/>
        </w:rPr>
      </w:pPr>
    </w:p>
    <w:p w:rsidR="001B6DE2" w:rsidRPr="00C36631" w:rsidRDefault="001B6DE2" w:rsidP="001B6DE2">
      <w:pPr>
        <w:autoSpaceDE w:val="0"/>
        <w:autoSpaceDN w:val="0"/>
        <w:adjustRightInd w:val="0"/>
        <w:spacing w:line="240" w:lineRule="auto"/>
        <w:contextualSpacing/>
        <w:jc w:val="center"/>
        <w:rPr>
          <w:rFonts w:ascii="Times New Roman" w:eastAsia="Times New Roman" w:hAnsi="Times New Roman" w:cs="Times New Roman"/>
          <w:b/>
          <w:sz w:val="28"/>
          <w:szCs w:val="28"/>
          <w:lang w:eastAsia="ru-RU"/>
        </w:rPr>
      </w:pPr>
      <w:r w:rsidRPr="00C36631">
        <w:rPr>
          <w:rFonts w:ascii="Times New Roman" w:eastAsia="Times New Roman" w:hAnsi="Times New Roman" w:cs="Times New Roman"/>
          <w:b/>
          <w:sz w:val="28"/>
          <w:szCs w:val="28"/>
          <w:lang w:eastAsia="ru-RU"/>
        </w:rPr>
        <w:t xml:space="preserve">ВЫПУСКНАЯ КВАЛИФИКАЦИОННАЯ РАБОТА </w:t>
      </w:r>
    </w:p>
    <w:p w:rsidR="001B6DE2" w:rsidRPr="00C36631" w:rsidRDefault="001B6DE2" w:rsidP="001B6DE2">
      <w:pPr>
        <w:autoSpaceDE w:val="0"/>
        <w:autoSpaceDN w:val="0"/>
        <w:adjustRightInd w:val="0"/>
        <w:spacing w:line="240" w:lineRule="auto"/>
        <w:contextualSpacing/>
        <w:jc w:val="center"/>
        <w:rPr>
          <w:rFonts w:ascii="Times New Roman" w:eastAsia="Times New Roman" w:hAnsi="Times New Roman" w:cs="Times New Roman"/>
          <w:b/>
          <w:sz w:val="28"/>
          <w:szCs w:val="28"/>
          <w:lang w:eastAsia="ru-RU"/>
        </w:rPr>
      </w:pPr>
      <w:r w:rsidRPr="00C36631">
        <w:rPr>
          <w:rFonts w:ascii="Times New Roman" w:eastAsia="Times New Roman" w:hAnsi="Times New Roman" w:cs="Times New Roman"/>
          <w:b/>
          <w:sz w:val="28"/>
          <w:szCs w:val="28"/>
          <w:lang w:eastAsia="ru-RU"/>
        </w:rPr>
        <w:t>(МАГИСТЕРСКАЯ ДИССЕРТАЦИЯ)</w:t>
      </w:r>
    </w:p>
    <w:p w:rsidR="001B6DE2" w:rsidRPr="00C36631" w:rsidRDefault="001B6DE2" w:rsidP="001B6DE2">
      <w:pPr>
        <w:spacing w:line="240" w:lineRule="auto"/>
        <w:contextualSpacing/>
        <w:jc w:val="center"/>
        <w:rPr>
          <w:rFonts w:ascii="Times New Roman" w:eastAsia="Cambria" w:hAnsi="Times New Roman" w:cs="Times New Roman"/>
          <w:sz w:val="28"/>
          <w:szCs w:val="28"/>
        </w:rPr>
      </w:pPr>
    </w:p>
    <w:p w:rsidR="001B6DE2" w:rsidRPr="00C36631" w:rsidRDefault="001B6DE2" w:rsidP="001B6DE2">
      <w:pPr>
        <w:autoSpaceDE w:val="0"/>
        <w:autoSpaceDN w:val="0"/>
        <w:adjustRightInd w:val="0"/>
        <w:spacing w:line="240" w:lineRule="auto"/>
        <w:contextualSpacing/>
        <w:jc w:val="center"/>
        <w:rPr>
          <w:rFonts w:ascii="Times New Roman" w:eastAsia="Times New Roman" w:hAnsi="Times New Roman" w:cs="Times New Roman"/>
          <w:b/>
          <w:sz w:val="28"/>
          <w:szCs w:val="28"/>
          <w:lang w:eastAsia="ru-RU"/>
        </w:rPr>
      </w:pPr>
      <w:r w:rsidRPr="00C36631">
        <w:rPr>
          <w:rFonts w:ascii="Times New Roman" w:eastAsia="Cambria" w:hAnsi="Times New Roman" w:cs="Times New Roman"/>
          <w:b/>
          <w:bCs/>
          <w:caps/>
          <w:sz w:val="28"/>
          <w:szCs w:val="28"/>
        </w:rPr>
        <w:t>Р</w:t>
      </w:r>
      <w:r w:rsidRPr="00C36631">
        <w:rPr>
          <w:rFonts w:ascii="Times New Roman" w:eastAsia="Times New Roman" w:hAnsi="Times New Roman" w:cs="Times New Roman"/>
          <w:b/>
          <w:sz w:val="28"/>
          <w:szCs w:val="28"/>
          <w:lang w:eastAsia="ru-RU"/>
        </w:rPr>
        <w:t>АЗВИТИЕ ФИНАНСОВЫХ ИНСТРУМЕНТОВ СТИМУЛИРОВАНИЯ ИННОВАЦИОННОГО БИЗНЕСА В РОССИЙСКОЙ ЭКОНОМИКЕ</w:t>
      </w:r>
    </w:p>
    <w:p w:rsidR="001B6DE2" w:rsidRPr="00C36631" w:rsidRDefault="001B6DE2" w:rsidP="001B6DE2">
      <w:pPr>
        <w:autoSpaceDE w:val="0"/>
        <w:autoSpaceDN w:val="0"/>
        <w:adjustRightInd w:val="0"/>
        <w:spacing w:line="240" w:lineRule="auto"/>
        <w:contextualSpacing/>
        <w:jc w:val="center"/>
        <w:rPr>
          <w:rFonts w:ascii="Times New Roman" w:eastAsia="Cambria" w:hAnsi="Times New Roman" w:cs="Times New Roman"/>
          <w:b/>
          <w:bCs/>
          <w:caps/>
          <w:sz w:val="28"/>
          <w:szCs w:val="28"/>
        </w:rPr>
      </w:pPr>
    </w:p>
    <w:p w:rsidR="001B6DE2" w:rsidRPr="00C36631" w:rsidRDefault="001B6DE2" w:rsidP="001B6DE2">
      <w:pPr>
        <w:autoSpaceDE w:val="0"/>
        <w:autoSpaceDN w:val="0"/>
        <w:adjustRightInd w:val="0"/>
        <w:spacing w:line="240" w:lineRule="auto"/>
        <w:contextualSpacing/>
        <w:jc w:val="center"/>
        <w:rPr>
          <w:rFonts w:ascii="Times New Roman" w:eastAsia="Times New Roman" w:hAnsi="Times New Roman" w:cs="Times New Roman"/>
          <w:b/>
          <w:bCs/>
          <w:caps/>
          <w:sz w:val="28"/>
          <w:szCs w:val="28"/>
          <w:lang w:val="ba-RU" w:eastAsia="ru-RU"/>
        </w:rPr>
      </w:pPr>
    </w:p>
    <w:p w:rsidR="001B6DE2" w:rsidRPr="00C36631" w:rsidRDefault="001B6DE2" w:rsidP="001B6DE2">
      <w:pPr>
        <w:autoSpaceDE w:val="0"/>
        <w:autoSpaceDN w:val="0"/>
        <w:adjustRightInd w:val="0"/>
        <w:spacing w:line="240" w:lineRule="auto"/>
        <w:contextualSpacing/>
        <w:rPr>
          <w:rFonts w:ascii="Times New Roman" w:eastAsia="Times New Roman" w:hAnsi="Times New Roman" w:cs="Times New Roman"/>
          <w:color w:val="FF0000"/>
          <w:szCs w:val="28"/>
          <w:lang w:eastAsia="ru-RU"/>
        </w:rPr>
      </w:pPr>
      <w:r w:rsidRPr="00C36631">
        <w:rPr>
          <w:rFonts w:ascii="Times New Roman" w:eastAsia="Times New Roman" w:hAnsi="Times New Roman" w:cs="Times New Roman"/>
          <w:color w:val="000000"/>
          <w:sz w:val="28"/>
          <w:szCs w:val="28"/>
          <w:lang w:eastAsia="ru-RU"/>
        </w:rPr>
        <w:t xml:space="preserve">Работу выполнил </w:t>
      </w:r>
      <w:r w:rsidRPr="00C36631">
        <w:rPr>
          <w:rFonts w:ascii="Times New Roman" w:eastAsia="Calibri" w:hAnsi="Times New Roman" w:cs="Times New Roman"/>
          <w:color w:val="000000"/>
          <w:sz w:val="28"/>
          <w:szCs w:val="28"/>
          <w:u w:val="single"/>
        </w:rPr>
        <w:tab/>
      </w:r>
      <w:r w:rsidRPr="00C36631">
        <w:rPr>
          <w:rFonts w:ascii="Times New Roman" w:eastAsia="Calibri" w:hAnsi="Times New Roman" w:cs="Times New Roman"/>
          <w:color w:val="000000"/>
          <w:sz w:val="28"/>
          <w:szCs w:val="28"/>
          <w:u w:val="single"/>
        </w:rPr>
        <w:tab/>
        <w:t xml:space="preserve">                                                  </w:t>
      </w:r>
      <w:r w:rsidRPr="00C36631">
        <w:rPr>
          <w:rFonts w:ascii="Times New Roman" w:eastAsia="Calibri" w:hAnsi="Times New Roman" w:cs="Times New Roman"/>
          <w:color w:val="000000"/>
          <w:sz w:val="28"/>
          <w:szCs w:val="28"/>
          <w:u w:val="single"/>
        </w:rPr>
        <w:tab/>
      </w:r>
      <w:r w:rsidRPr="00C36631">
        <w:rPr>
          <w:rFonts w:ascii="Times New Roman" w:eastAsia="Calibri" w:hAnsi="Times New Roman" w:cs="Times New Roman"/>
          <w:sz w:val="28"/>
          <w:szCs w:val="28"/>
        </w:rPr>
        <w:t>М.С. Брусилов</w:t>
      </w:r>
    </w:p>
    <w:p w:rsidR="001B6DE2" w:rsidRPr="00C36631" w:rsidRDefault="001B6DE2" w:rsidP="001B6DE2">
      <w:pPr>
        <w:autoSpaceDE w:val="0"/>
        <w:autoSpaceDN w:val="0"/>
        <w:adjustRightInd w:val="0"/>
        <w:spacing w:line="240" w:lineRule="auto"/>
        <w:contextualSpacing/>
        <w:rPr>
          <w:rFonts w:ascii="Times New Roman" w:eastAsia="Times New Roman" w:hAnsi="Times New Roman" w:cs="Times New Roman"/>
          <w:szCs w:val="20"/>
          <w:lang w:eastAsia="ru-RU"/>
        </w:rPr>
      </w:pPr>
      <w:r w:rsidRPr="00C36631">
        <w:rPr>
          <w:rFonts w:ascii="Times New Roman" w:eastAsia="Times New Roman" w:hAnsi="Times New Roman" w:cs="Times New Roman"/>
          <w:color w:val="000000"/>
          <w:sz w:val="28"/>
          <w:lang w:eastAsia="ru-RU"/>
        </w:rPr>
        <w:t xml:space="preserve">                                                </w:t>
      </w:r>
      <w:r w:rsidRPr="00C36631">
        <w:rPr>
          <w:rFonts w:ascii="Times New Roman" w:eastAsia="Times New Roman" w:hAnsi="Times New Roman" w:cs="Times New Roman"/>
          <w:color w:val="000000"/>
          <w:szCs w:val="20"/>
          <w:lang w:eastAsia="ru-RU"/>
        </w:rPr>
        <w:t xml:space="preserve">(подпись, дата)                     </w:t>
      </w:r>
    </w:p>
    <w:p w:rsidR="001B6DE2" w:rsidRPr="00C36631" w:rsidRDefault="001B6DE2" w:rsidP="001B6DE2">
      <w:pPr>
        <w:tabs>
          <w:tab w:val="left" w:pos="1125"/>
          <w:tab w:val="center" w:pos="4819"/>
        </w:tabs>
        <w:spacing w:line="360" w:lineRule="auto"/>
        <w:contextualSpacing/>
        <w:rPr>
          <w:rFonts w:ascii="Times New Roman" w:eastAsia="Times New Roman" w:hAnsi="Times New Roman" w:cs="Times New Roman"/>
          <w:color w:val="000000"/>
          <w:sz w:val="28"/>
          <w:szCs w:val="28"/>
          <w:lang w:eastAsia="ru-RU"/>
        </w:rPr>
      </w:pPr>
      <w:r w:rsidRPr="00C36631">
        <w:rPr>
          <w:rFonts w:ascii="Times New Roman" w:eastAsia="Times New Roman" w:hAnsi="Times New Roman" w:cs="Times New Roman"/>
          <w:sz w:val="28"/>
          <w:szCs w:val="28"/>
          <w:lang w:eastAsia="ru-RU"/>
        </w:rPr>
        <w:t xml:space="preserve">Направление подготовки </w:t>
      </w:r>
      <w:r w:rsidRPr="00C36631">
        <w:rPr>
          <w:rFonts w:ascii="Times New Roman" w:eastAsia="Times New Roman" w:hAnsi="Times New Roman" w:cs="Times New Roman"/>
          <w:color w:val="000000"/>
          <w:sz w:val="28"/>
          <w:szCs w:val="28"/>
          <w:u w:val="single"/>
          <w:lang w:eastAsia="ru-RU"/>
        </w:rPr>
        <w:t xml:space="preserve">38.04.01 Экономика   </w:t>
      </w:r>
      <w:r w:rsidRPr="00C36631">
        <w:rPr>
          <w:rFonts w:ascii="Times New Roman" w:eastAsia="Times New Roman" w:hAnsi="Times New Roman" w:cs="Times New Roman"/>
          <w:color w:val="000000"/>
          <w:sz w:val="28"/>
          <w:szCs w:val="28"/>
          <w:u w:val="single"/>
          <w:lang w:eastAsia="ru-RU"/>
        </w:rPr>
        <w:tab/>
      </w:r>
      <w:r w:rsidRPr="00C36631">
        <w:rPr>
          <w:rFonts w:ascii="Times New Roman" w:eastAsia="Times New Roman" w:hAnsi="Times New Roman" w:cs="Times New Roman"/>
          <w:color w:val="000000"/>
          <w:sz w:val="28"/>
          <w:szCs w:val="28"/>
          <w:u w:val="single"/>
          <w:lang w:eastAsia="ru-RU"/>
        </w:rPr>
        <w:tab/>
      </w:r>
      <w:r w:rsidRPr="00C36631">
        <w:rPr>
          <w:rFonts w:ascii="Times New Roman" w:eastAsia="Times New Roman" w:hAnsi="Times New Roman" w:cs="Times New Roman"/>
          <w:color w:val="000000"/>
          <w:sz w:val="28"/>
          <w:szCs w:val="28"/>
          <w:u w:val="single"/>
          <w:lang w:eastAsia="ru-RU"/>
        </w:rPr>
        <w:tab/>
      </w:r>
      <w:r w:rsidRPr="00C36631">
        <w:rPr>
          <w:rFonts w:ascii="Times New Roman" w:eastAsia="Times New Roman" w:hAnsi="Times New Roman" w:cs="Times New Roman"/>
          <w:color w:val="000000"/>
          <w:sz w:val="28"/>
          <w:szCs w:val="28"/>
          <w:u w:val="single"/>
          <w:lang w:eastAsia="ru-RU"/>
        </w:rPr>
        <w:tab/>
      </w:r>
      <w:r w:rsidRPr="00C36631">
        <w:rPr>
          <w:rFonts w:ascii="Times New Roman" w:eastAsia="Times New Roman" w:hAnsi="Times New Roman" w:cs="Times New Roman"/>
          <w:color w:val="000000"/>
          <w:sz w:val="28"/>
          <w:szCs w:val="28"/>
          <w:u w:val="single"/>
          <w:lang w:eastAsia="ru-RU"/>
        </w:rPr>
        <w:tab/>
      </w:r>
    </w:p>
    <w:p w:rsidR="001B6DE2" w:rsidRPr="00C36631" w:rsidRDefault="001B6DE2" w:rsidP="001B6DE2">
      <w:pPr>
        <w:tabs>
          <w:tab w:val="left" w:pos="1125"/>
          <w:tab w:val="center" w:pos="4819"/>
        </w:tabs>
        <w:spacing w:line="360" w:lineRule="auto"/>
        <w:contextualSpacing/>
        <w:rPr>
          <w:rFonts w:ascii="Times New Roman" w:eastAsia="Times New Roman" w:hAnsi="Times New Roman" w:cs="Times New Roman"/>
          <w:color w:val="000000"/>
          <w:sz w:val="28"/>
          <w:szCs w:val="28"/>
          <w:lang w:eastAsia="ru-RU"/>
        </w:rPr>
      </w:pPr>
      <w:r w:rsidRPr="00C36631">
        <w:rPr>
          <w:rFonts w:ascii="Times New Roman" w:eastAsia="Times New Roman" w:hAnsi="Times New Roman" w:cs="Times New Roman"/>
          <w:color w:val="000000"/>
          <w:sz w:val="28"/>
          <w:szCs w:val="28"/>
          <w:lang w:eastAsia="ru-RU"/>
        </w:rPr>
        <w:t xml:space="preserve">Направленность (профиль) </w:t>
      </w:r>
      <w:r w:rsidRPr="00C36631">
        <w:rPr>
          <w:rFonts w:ascii="Times New Roman" w:eastAsia="Times New Roman" w:hAnsi="Times New Roman" w:cs="Times New Roman"/>
          <w:color w:val="000000"/>
          <w:sz w:val="28"/>
          <w:szCs w:val="28"/>
          <w:u w:val="single"/>
          <w:lang w:eastAsia="ru-RU"/>
        </w:rPr>
        <w:t>Финансовая экономика</w:t>
      </w:r>
      <w:r w:rsidRPr="00C36631">
        <w:rPr>
          <w:rFonts w:ascii="Times New Roman" w:eastAsia="Times New Roman" w:hAnsi="Times New Roman" w:cs="Times New Roman"/>
          <w:color w:val="000000"/>
          <w:sz w:val="28"/>
          <w:szCs w:val="28"/>
          <w:u w:val="single"/>
          <w:lang w:eastAsia="ru-RU"/>
        </w:rPr>
        <w:tab/>
      </w:r>
      <w:r w:rsidRPr="00C36631">
        <w:rPr>
          <w:rFonts w:ascii="Times New Roman" w:eastAsia="Times New Roman" w:hAnsi="Times New Roman" w:cs="Times New Roman"/>
          <w:color w:val="000000"/>
          <w:sz w:val="28"/>
          <w:szCs w:val="28"/>
          <w:u w:val="single"/>
          <w:lang w:eastAsia="ru-RU"/>
        </w:rPr>
        <w:tab/>
      </w:r>
      <w:r w:rsidRPr="00C36631">
        <w:rPr>
          <w:rFonts w:ascii="Times New Roman" w:eastAsia="Times New Roman" w:hAnsi="Times New Roman" w:cs="Times New Roman"/>
          <w:color w:val="000000"/>
          <w:sz w:val="28"/>
          <w:szCs w:val="28"/>
          <w:u w:val="single"/>
          <w:lang w:eastAsia="ru-RU"/>
        </w:rPr>
        <w:tab/>
      </w:r>
      <w:r w:rsidRPr="00C36631">
        <w:rPr>
          <w:rFonts w:ascii="Times New Roman" w:eastAsia="Times New Roman" w:hAnsi="Times New Roman" w:cs="Times New Roman"/>
          <w:color w:val="000000"/>
          <w:sz w:val="28"/>
          <w:szCs w:val="28"/>
          <w:u w:val="single"/>
          <w:lang w:eastAsia="ru-RU"/>
        </w:rPr>
        <w:tab/>
      </w:r>
      <w:r w:rsidRPr="00C36631">
        <w:rPr>
          <w:rFonts w:ascii="Times New Roman" w:eastAsia="Times New Roman" w:hAnsi="Times New Roman" w:cs="Times New Roman"/>
          <w:color w:val="000000"/>
          <w:sz w:val="28"/>
          <w:szCs w:val="28"/>
          <w:u w:val="single"/>
          <w:lang w:eastAsia="ru-RU"/>
        </w:rPr>
        <w:tab/>
      </w:r>
    </w:p>
    <w:p w:rsidR="001B6DE2" w:rsidRPr="00C36631" w:rsidRDefault="001B6DE2" w:rsidP="001B6DE2">
      <w:pPr>
        <w:spacing w:line="240" w:lineRule="auto"/>
        <w:contextualSpacing/>
        <w:rPr>
          <w:rFonts w:ascii="Times New Roman" w:eastAsia="Calibri" w:hAnsi="Times New Roman" w:cs="Times New Roman"/>
          <w:sz w:val="28"/>
          <w:szCs w:val="28"/>
          <w:lang w:eastAsia="ru-RU"/>
        </w:rPr>
      </w:pPr>
      <w:r w:rsidRPr="00C36631">
        <w:rPr>
          <w:rFonts w:ascii="Times New Roman" w:eastAsia="Calibri" w:hAnsi="Times New Roman" w:cs="Times New Roman"/>
          <w:sz w:val="28"/>
          <w:szCs w:val="28"/>
          <w:lang w:eastAsia="ru-RU"/>
        </w:rPr>
        <w:t xml:space="preserve">Научный руководитель </w:t>
      </w:r>
    </w:p>
    <w:p w:rsidR="001B6DE2" w:rsidRPr="00C36631" w:rsidRDefault="001B6DE2" w:rsidP="001B6DE2">
      <w:pPr>
        <w:tabs>
          <w:tab w:val="left" w:pos="1125"/>
          <w:tab w:val="center" w:pos="4819"/>
        </w:tabs>
        <w:spacing w:line="240" w:lineRule="auto"/>
        <w:contextualSpacing/>
        <w:rPr>
          <w:rFonts w:ascii="Times New Roman" w:eastAsia="Calibri" w:hAnsi="Times New Roman" w:cs="Times New Roman"/>
          <w:color w:val="000000"/>
          <w:sz w:val="28"/>
          <w:szCs w:val="28"/>
          <w:lang w:eastAsia="ru-RU"/>
        </w:rPr>
      </w:pPr>
      <w:r w:rsidRPr="00C36631">
        <w:rPr>
          <w:rFonts w:ascii="Times New Roman" w:eastAsia="Calibri" w:hAnsi="Times New Roman" w:cs="Times New Roman"/>
          <w:color w:val="000000"/>
          <w:sz w:val="28"/>
          <w:szCs w:val="28"/>
          <w:lang w:eastAsia="ru-RU"/>
        </w:rPr>
        <w:t>канд. экон. наук, доцент</w:t>
      </w:r>
      <w:r w:rsidRPr="00C36631">
        <w:rPr>
          <w:rFonts w:ascii="Times New Roman" w:eastAsia="Calibri" w:hAnsi="Times New Roman" w:cs="Times New Roman"/>
          <w:color w:val="000000"/>
          <w:sz w:val="28"/>
          <w:szCs w:val="28"/>
          <w:u w:val="single"/>
        </w:rPr>
        <w:t xml:space="preserve"> </w:t>
      </w:r>
      <w:r w:rsidRPr="00C36631">
        <w:rPr>
          <w:rFonts w:ascii="Times New Roman" w:eastAsia="Calibri" w:hAnsi="Times New Roman" w:cs="Times New Roman"/>
          <w:color w:val="000000"/>
          <w:sz w:val="28"/>
          <w:szCs w:val="28"/>
          <w:u w:val="single"/>
        </w:rPr>
        <w:tab/>
      </w:r>
      <w:r w:rsidRPr="00C36631">
        <w:rPr>
          <w:rFonts w:ascii="Times New Roman" w:eastAsia="Calibri" w:hAnsi="Times New Roman" w:cs="Times New Roman"/>
          <w:color w:val="000000"/>
          <w:sz w:val="28"/>
          <w:szCs w:val="28"/>
          <w:u w:val="single"/>
        </w:rPr>
        <w:tab/>
      </w:r>
      <w:r w:rsidRPr="00C36631">
        <w:rPr>
          <w:rFonts w:ascii="Times New Roman" w:eastAsia="Calibri" w:hAnsi="Times New Roman" w:cs="Times New Roman"/>
          <w:color w:val="000000"/>
          <w:sz w:val="28"/>
          <w:szCs w:val="28"/>
          <w:u w:val="single"/>
        </w:rPr>
        <w:tab/>
        <w:t xml:space="preserve">                    </w:t>
      </w:r>
      <w:r w:rsidRPr="00C36631">
        <w:rPr>
          <w:rFonts w:ascii="Times New Roman" w:eastAsia="Calibri" w:hAnsi="Times New Roman" w:cs="Times New Roman"/>
          <w:color w:val="000000"/>
          <w:sz w:val="28"/>
          <w:szCs w:val="28"/>
        </w:rPr>
        <w:t>Ю</w:t>
      </w:r>
      <w:r w:rsidRPr="00C36631">
        <w:rPr>
          <w:rFonts w:ascii="Times New Roman" w:eastAsia="MS Mincho" w:hAnsi="Times New Roman" w:cs="Times New Roman"/>
          <w:sz w:val="28"/>
          <w:szCs w:val="28"/>
          <w:lang w:eastAsia="ru-RU"/>
        </w:rPr>
        <w:t>.Н. Александрин</w:t>
      </w:r>
    </w:p>
    <w:p w:rsidR="001B6DE2" w:rsidRPr="00C36631" w:rsidRDefault="001B6DE2" w:rsidP="001B6DE2">
      <w:pPr>
        <w:tabs>
          <w:tab w:val="left" w:pos="3855"/>
        </w:tabs>
        <w:spacing w:line="240" w:lineRule="auto"/>
        <w:contextualSpacing/>
        <w:jc w:val="center"/>
        <w:rPr>
          <w:rFonts w:ascii="Times New Roman" w:eastAsia="Calibri" w:hAnsi="Times New Roman" w:cs="Times New Roman"/>
          <w:lang w:eastAsia="ru-RU"/>
        </w:rPr>
      </w:pPr>
      <w:r w:rsidRPr="00C36631">
        <w:rPr>
          <w:rFonts w:ascii="Times New Roman" w:eastAsia="Calibri" w:hAnsi="Times New Roman" w:cs="Times New Roman"/>
          <w:lang w:eastAsia="ru-RU"/>
        </w:rPr>
        <w:t>(подпись)</w:t>
      </w:r>
    </w:p>
    <w:p w:rsidR="001B6DE2" w:rsidRPr="00C36631" w:rsidRDefault="001B6DE2" w:rsidP="001B6DE2">
      <w:pPr>
        <w:spacing w:line="240" w:lineRule="auto"/>
        <w:contextualSpacing/>
        <w:rPr>
          <w:rFonts w:ascii="Times New Roman" w:eastAsia="Calibri" w:hAnsi="Times New Roman" w:cs="Times New Roman"/>
          <w:sz w:val="28"/>
          <w:szCs w:val="28"/>
          <w:lang w:eastAsia="ru-RU"/>
        </w:rPr>
      </w:pPr>
      <w:r w:rsidRPr="00C36631">
        <w:rPr>
          <w:rFonts w:ascii="Times New Roman" w:eastAsia="Calibri" w:hAnsi="Times New Roman" w:cs="Times New Roman"/>
          <w:sz w:val="28"/>
          <w:szCs w:val="28"/>
          <w:lang w:eastAsia="ru-RU"/>
        </w:rPr>
        <w:t>Нормоконтролер</w:t>
      </w:r>
    </w:p>
    <w:p w:rsidR="001B6DE2" w:rsidRPr="00C36631" w:rsidRDefault="001B6DE2" w:rsidP="001B6DE2">
      <w:pPr>
        <w:spacing w:line="240" w:lineRule="auto"/>
        <w:contextualSpacing/>
        <w:jc w:val="both"/>
        <w:rPr>
          <w:rFonts w:ascii="Times New Roman" w:eastAsia="Calibri" w:hAnsi="Times New Roman" w:cs="Times New Roman"/>
          <w:sz w:val="28"/>
          <w:szCs w:val="28"/>
        </w:rPr>
      </w:pPr>
      <w:r w:rsidRPr="00C36631">
        <w:rPr>
          <w:rFonts w:ascii="Times New Roman" w:eastAsia="Calibri" w:hAnsi="Times New Roman" w:cs="Times New Roman"/>
          <w:color w:val="000000"/>
          <w:sz w:val="28"/>
          <w:szCs w:val="28"/>
        </w:rPr>
        <w:t xml:space="preserve">ст. преподаватель </w:t>
      </w:r>
      <w:r w:rsidRPr="00C36631">
        <w:rPr>
          <w:rFonts w:ascii="Times New Roman" w:eastAsia="Calibri" w:hAnsi="Times New Roman" w:cs="Times New Roman"/>
          <w:color w:val="000000"/>
          <w:sz w:val="28"/>
          <w:szCs w:val="28"/>
          <w:u w:val="single"/>
        </w:rPr>
        <w:tab/>
      </w:r>
      <w:r w:rsidRPr="00C36631">
        <w:rPr>
          <w:rFonts w:ascii="Times New Roman" w:eastAsia="Calibri" w:hAnsi="Times New Roman" w:cs="Times New Roman"/>
          <w:color w:val="000000"/>
          <w:sz w:val="28"/>
          <w:szCs w:val="28"/>
          <w:u w:val="single"/>
        </w:rPr>
        <w:tab/>
      </w:r>
      <w:r w:rsidRPr="00C36631">
        <w:rPr>
          <w:rFonts w:ascii="Times New Roman" w:eastAsia="Calibri" w:hAnsi="Times New Roman" w:cs="Times New Roman"/>
          <w:color w:val="000000"/>
          <w:sz w:val="28"/>
          <w:szCs w:val="28"/>
          <w:u w:val="single"/>
        </w:rPr>
        <w:tab/>
      </w:r>
      <w:r w:rsidRPr="00C36631">
        <w:rPr>
          <w:rFonts w:ascii="Times New Roman" w:eastAsia="Calibri" w:hAnsi="Times New Roman" w:cs="Times New Roman"/>
          <w:color w:val="000000"/>
          <w:sz w:val="28"/>
          <w:szCs w:val="28"/>
          <w:u w:val="single"/>
        </w:rPr>
        <w:tab/>
      </w:r>
      <w:r w:rsidRPr="00C36631">
        <w:rPr>
          <w:rFonts w:ascii="Times New Roman" w:eastAsia="Calibri" w:hAnsi="Times New Roman" w:cs="Times New Roman"/>
          <w:color w:val="000000"/>
          <w:sz w:val="28"/>
          <w:szCs w:val="28"/>
          <w:u w:val="single"/>
        </w:rPr>
        <w:tab/>
      </w:r>
      <w:r w:rsidRPr="00C36631">
        <w:rPr>
          <w:rFonts w:ascii="Times New Roman" w:eastAsia="Calibri" w:hAnsi="Times New Roman" w:cs="Times New Roman"/>
          <w:color w:val="000000"/>
          <w:sz w:val="28"/>
          <w:szCs w:val="28"/>
          <w:u w:val="single"/>
        </w:rPr>
        <w:tab/>
      </w:r>
      <w:r w:rsidRPr="00C36631">
        <w:rPr>
          <w:rFonts w:ascii="Times New Roman" w:eastAsia="Calibri" w:hAnsi="Times New Roman" w:cs="Times New Roman"/>
          <w:color w:val="000000"/>
          <w:sz w:val="28"/>
          <w:szCs w:val="28"/>
          <w:u w:val="single"/>
        </w:rPr>
        <w:tab/>
      </w:r>
      <w:r w:rsidRPr="00C36631">
        <w:rPr>
          <w:rFonts w:ascii="Times New Roman" w:eastAsia="Calibri" w:hAnsi="Times New Roman" w:cs="Times New Roman"/>
          <w:sz w:val="28"/>
          <w:szCs w:val="28"/>
          <w:lang w:val="ba-RU"/>
        </w:rPr>
        <w:t>Н.В.</w:t>
      </w:r>
      <w:r w:rsidRPr="00C36631">
        <w:rPr>
          <w:rFonts w:ascii="Times New Roman" w:eastAsia="Calibri" w:hAnsi="Times New Roman" w:cs="Times New Roman"/>
          <w:sz w:val="28"/>
          <w:szCs w:val="28"/>
        </w:rPr>
        <w:t xml:space="preserve"> Хубутия</w:t>
      </w:r>
    </w:p>
    <w:p w:rsidR="001B6DE2" w:rsidRPr="00C36631" w:rsidRDefault="001B6DE2" w:rsidP="001B6DE2">
      <w:pPr>
        <w:spacing w:line="240" w:lineRule="auto"/>
        <w:contextualSpacing/>
        <w:jc w:val="center"/>
        <w:rPr>
          <w:rFonts w:ascii="Times New Roman" w:eastAsia="Calibri" w:hAnsi="Times New Roman" w:cs="Times New Roman"/>
          <w:szCs w:val="20"/>
          <w:lang w:eastAsia="ru-RU"/>
        </w:rPr>
      </w:pPr>
      <w:r w:rsidRPr="00C36631">
        <w:rPr>
          <w:rFonts w:ascii="Times New Roman" w:eastAsia="Calibri" w:hAnsi="Times New Roman" w:cs="Times New Roman"/>
          <w:szCs w:val="20"/>
          <w:lang w:eastAsia="ru-RU"/>
        </w:rPr>
        <w:t xml:space="preserve"> (подпись)</w:t>
      </w:r>
    </w:p>
    <w:p w:rsidR="001B6DE2" w:rsidRPr="00C36631" w:rsidRDefault="001B6DE2" w:rsidP="001B6DE2">
      <w:pPr>
        <w:spacing w:line="240" w:lineRule="auto"/>
        <w:contextualSpacing/>
        <w:rPr>
          <w:rFonts w:ascii="Times New Roman" w:eastAsia="Times New Roman" w:hAnsi="Times New Roman" w:cs="Times New Roman"/>
          <w:color w:val="000000"/>
          <w:sz w:val="28"/>
          <w:szCs w:val="28"/>
          <w:lang w:val="ba-RU" w:eastAsia="ru-RU"/>
        </w:rPr>
      </w:pPr>
    </w:p>
    <w:p w:rsidR="001B6DE2" w:rsidRPr="00C36631" w:rsidRDefault="001B6DE2" w:rsidP="001B6DE2">
      <w:pPr>
        <w:spacing w:line="240" w:lineRule="auto"/>
        <w:contextualSpacing/>
        <w:jc w:val="center"/>
        <w:rPr>
          <w:rFonts w:ascii="Times New Roman" w:eastAsia="Times New Roman" w:hAnsi="Times New Roman" w:cs="Times New Roman"/>
          <w:color w:val="000000"/>
          <w:sz w:val="28"/>
          <w:szCs w:val="28"/>
          <w:lang w:val="ba-RU" w:eastAsia="ru-RU"/>
        </w:rPr>
      </w:pPr>
    </w:p>
    <w:p w:rsidR="001B6DE2" w:rsidRPr="00C36631" w:rsidRDefault="001B6DE2" w:rsidP="001B6DE2">
      <w:pPr>
        <w:spacing w:line="240" w:lineRule="auto"/>
        <w:contextualSpacing/>
        <w:jc w:val="center"/>
        <w:rPr>
          <w:rFonts w:ascii="Times New Roman" w:eastAsia="Times New Roman" w:hAnsi="Times New Roman" w:cs="Times New Roman"/>
          <w:color w:val="000000"/>
          <w:sz w:val="28"/>
          <w:szCs w:val="28"/>
          <w:lang w:eastAsia="ru-RU"/>
        </w:rPr>
      </w:pPr>
    </w:p>
    <w:p w:rsidR="001B6DE2" w:rsidRPr="00C36631" w:rsidRDefault="001B6DE2" w:rsidP="001B6DE2">
      <w:pPr>
        <w:spacing w:line="240" w:lineRule="auto"/>
        <w:contextualSpacing/>
        <w:jc w:val="center"/>
        <w:rPr>
          <w:rFonts w:ascii="Times New Roman" w:eastAsia="Times New Roman" w:hAnsi="Times New Roman" w:cs="Times New Roman"/>
          <w:color w:val="000000"/>
          <w:sz w:val="28"/>
          <w:szCs w:val="28"/>
          <w:lang w:eastAsia="ru-RU"/>
        </w:rPr>
      </w:pPr>
    </w:p>
    <w:p w:rsidR="001B6DE2" w:rsidRPr="00C36631" w:rsidRDefault="001B6DE2" w:rsidP="001B6DE2">
      <w:pPr>
        <w:spacing w:line="240" w:lineRule="auto"/>
        <w:contextualSpacing/>
        <w:jc w:val="center"/>
        <w:rPr>
          <w:rFonts w:ascii="Times New Roman" w:eastAsia="Times New Roman" w:hAnsi="Times New Roman" w:cs="Times New Roman"/>
          <w:color w:val="000000"/>
          <w:sz w:val="28"/>
          <w:szCs w:val="28"/>
          <w:lang w:eastAsia="ru-RU"/>
        </w:rPr>
      </w:pPr>
      <w:r w:rsidRPr="00C36631">
        <w:rPr>
          <w:rFonts w:ascii="Times New Roman" w:eastAsia="Times New Roman" w:hAnsi="Times New Roman" w:cs="Times New Roman"/>
          <w:color w:val="000000"/>
          <w:sz w:val="28"/>
          <w:szCs w:val="28"/>
          <w:lang w:eastAsia="ru-RU"/>
        </w:rPr>
        <w:t xml:space="preserve">Краснодар </w:t>
      </w:r>
    </w:p>
    <w:p w:rsidR="001B6DE2" w:rsidRPr="00C36631" w:rsidRDefault="001B6DE2" w:rsidP="001B6DE2">
      <w:pPr>
        <w:spacing w:line="240" w:lineRule="auto"/>
        <w:contextualSpacing/>
        <w:jc w:val="center"/>
        <w:rPr>
          <w:rFonts w:ascii="Times New Roman" w:eastAsia="Calibri" w:hAnsi="Times New Roman" w:cs="Times New Roman"/>
          <w:sz w:val="24"/>
        </w:rPr>
      </w:pPr>
      <w:r w:rsidRPr="00C36631">
        <w:rPr>
          <w:rFonts w:ascii="Times New Roman" w:eastAsia="Times New Roman" w:hAnsi="Times New Roman" w:cs="Times New Roman"/>
          <w:color w:val="000000"/>
          <w:sz w:val="28"/>
          <w:szCs w:val="28"/>
          <w:lang w:eastAsia="ru-RU"/>
        </w:rPr>
        <w:t>2024</w:t>
      </w:r>
    </w:p>
    <w:p w:rsidR="001B6DE2" w:rsidRDefault="001B6DE2" w:rsidP="001B6DE2">
      <w:pPr>
        <w:spacing w:after="0" w:line="240" w:lineRule="auto"/>
        <w:jc w:val="center"/>
        <w:rPr>
          <w:rFonts w:ascii="Times New Roman" w:eastAsia="Calibri" w:hAnsi="Times New Roman" w:cs="Times New Roman"/>
          <w:b/>
          <w:noProof/>
          <w:color w:val="000000"/>
          <w:sz w:val="28"/>
          <w:szCs w:val="28"/>
          <w:lang w:eastAsia="ru-RU"/>
        </w:rPr>
      </w:pPr>
      <w:r w:rsidRPr="00C36631">
        <w:rPr>
          <w:rFonts w:ascii="Times New Roman" w:eastAsia="Calibri" w:hAnsi="Times New Roman" w:cs="Times New Roman"/>
          <w:b/>
          <w:noProof/>
          <w:color w:val="000000"/>
          <w:sz w:val="28"/>
          <w:szCs w:val="28"/>
          <w:lang w:eastAsia="ru-RU"/>
        </w:rPr>
        <w:lastRenderedPageBreak/>
        <w:t>СОДЕРЖАНИЕ</w:t>
      </w:r>
    </w:p>
    <w:p w:rsidR="001B6DE2" w:rsidRPr="00C36631" w:rsidRDefault="001B6DE2" w:rsidP="001B6DE2">
      <w:pPr>
        <w:spacing w:after="0" w:line="240" w:lineRule="auto"/>
        <w:ind w:firstLine="709"/>
        <w:jc w:val="center"/>
        <w:rPr>
          <w:rFonts w:ascii="Times New Roman" w:eastAsia="Calibri" w:hAnsi="Times New Roman" w:cs="Times New Roman"/>
          <w:b/>
          <w:noProof/>
          <w:color w:val="000000"/>
          <w:sz w:val="28"/>
          <w:szCs w:val="28"/>
          <w:lang w:eastAsia="ru-RU"/>
        </w:rPr>
      </w:pPr>
    </w:p>
    <w:p w:rsidR="001B6DE2" w:rsidRPr="00C36631" w:rsidRDefault="001B6DE2" w:rsidP="001B6DE2">
      <w:pPr>
        <w:spacing w:after="0" w:line="240" w:lineRule="auto"/>
        <w:rPr>
          <w:rFonts w:ascii="Times New Roman" w:eastAsia="Calibri" w:hAnsi="Times New Roman" w:cs="Times New Roman"/>
          <w:b/>
          <w:noProof/>
          <w:color w:val="000000"/>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8"/>
        <w:gridCol w:w="496"/>
      </w:tblGrid>
      <w:tr w:rsidR="001B6DE2" w:rsidRPr="00C36631" w:rsidTr="00CF73CA">
        <w:tc>
          <w:tcPr>
            <w:tcW w:w="8755" w:type="dxa"/>
          </w:tcPr>
          <w:p w:rsidR="001B6DE2" w:rsidRPr="00C36631" w:rsidRDefault="001B6DE2" w:rsidP="00CF73CA">
            <w:pPr>
              <w:spacing w:line="360" w:lineRule="auto"/>
              <w:rPr>
                <w:rFonts w:ascii="Times New Roman" w:hAnsi="Times New Roman" w:cs="Times New Roman"/>
                <w:sz w:val="28"/>
                <w:szCs w:val="28"/>
              </w:rPr>
            </w:pPr>
            <w:r w:rsidRPr="00C36631">
              <w:rPr>
                <w:rFonts w:ascii="Times New Roman" w:hAnsi="Times New Roman" w:cs="Times New Roman"/>
                <w:sz w:val="28"/>
                <w:szCs w:val="28"/>
              </w:rPr>
              <w:t>Введение …………………………………………………………………….</w:t>
            </w:r>
          </w:p>
          <w:p w:rsidR="001B6DE2" w:rsidRPr="00C36631" w:rsidRDefault="001B6DE2" w:rsidP="00CF73CA">
            <w:pPr>
              <w:spacing w:line="360" w:lineRule="auto"/>
              <w:rPr>
                <w:rFonts w:ascii="Times New Roman" w:hAnsi="Times New Roman" w:cs="Times New Roman"/>
                <w:sz w:val="28"/>
                <w:szCs w:val="28"/>
              </w:rPr>
            </w:pPr>
            <w:r w:rsidRPr="00C36631">
              <w:rPr>
                <w:rFonts w:ascii="Times New Roman" w:hAnsi="Times New Roman" w:cs="Times New Roman"/>
                <w:sz w:val="28"/>
                <w:szCs w:val="28"/>
              </w:rPr>
              <w:t>1 Теоретические основы исследования финансовых инструментов стимулирования инновационного бизнеса …………………………….</w:t>
            </w:r>
          </w:p>
          <w:p w:rsidR="001B6DE2" w:rsidRPr="00C36631" w:rsidRDefault="001B6DE2" w:rsidP="00CF73CA">
            <w:pPr>
              <w:spacing w:line="360" w:lineRule="auto"/>
              <w:ind w:firstLine="284"/>
              <w:rPr>
                <w:rFonts w:ascii="Times New Roman" w:hAnsi="Times New Roman" w:cs="Times New Roman"/>
                <w:sz w:val="28"/>
                <w:szCs w:val="28"/>
              </w:rPr>
            </w:pPr>
            <w:r w:rsidRPr="00C36631">
              <w:rPr>
                <w:rFonts w:ascii="Times New Roman" w:hAnsi="Times New Roman" w:cs="Times New Roman"/>
                <w:sz w:val="28"/>
                <w:szCs w:val="28"/>
              </w:rPr>
              <w:t>1.1 Понятие и роль инновационного бизнеса в экономике …………...</w:t>
            </w:r>
          </w:p>
          <w:p w:rsidR="001B6DE2" w:rsidRPr="00C36631" w:rsidRDefault="001B6DE2" w:rsidP="00CF73CA">
            <w:pPr>
              <w:spacing w:line="360" w:lineRule="auto"/>
              <w:ind w:left="321" w:hanging="37"/>
              <w:rPr>
                <w:rFonts w:ascii="Times New Roman" w:hAnsi="Times New Roman" w:cs="Times New Roman"/>
                <w:sz w:val="28"/>
                <w:szCs w:val="28"/>
              </w:rPr>
            </w:pPr>
            <w:r w:rsidRPr="00C36631">
              <w:rPr>
                <w:rFonts w:ascii="Times New Roman" w:hAnsi="Times New Roman" w:cs="Times New Roman"/>
                <w:sz w:val="28"/>
                <w:szCs w:val="28"/>
              </w:rPr>
              <w:t>1.2 Классификация финансовых инструментов стимулирования инновационного бизнеса ………………………………………………..</w:t>
            </w:r>
          </w:p>
          <w:p w:rsidR="001B6DE2" w:rsidRPr="00C36631" w:rsidRDefault="001B6DE2" w:rsidP="00CF73CA">
            <w:pPr>
              <w:spacing w:line="360" w:lineRule="auto"/>
              <w:ind w:left="321" w:hanging="37"/>
              <w:rPr>
                <w:rFonts w:ascii="Times New Roman" w:hAnsi="Times New Roman" w:cs="Times New Roman"/>
                <w:sz w:val="28"/>
                <w:szCs w:val="28"/>
              </w:rPr>
            </w:pPr>
            <w:r w:rsidRPr="00C36631">
              <w:rPr>
                <w:rFonts w:ascii="Times New Roman" w:hAnsi="Times New Roman" w:cs="Times New Roman"/>
                <w:sz w:val="28"/>
                <w:szCs w:val="28"/>
              </w:rPr>
              <w:t>1.3 Финансовый механизм стимулирования инновационной активности на отраслевом и региональном уровнях ………………….</w:t>
            </w:r>
          </w:p>
          <w:p w:rsidR="001B6DE2" w:rsidRPr="00C36631" w:rsidRDefault="001B6DE2" w:rsidP="00CF73CA">
            <w:pPr>
              <w:spacing w:line="360" w:lineRule="auto"/>
              <w:rPr>
                <w:rFonts w:ascii="Times New Roman" w:hAnsi="Times New Roman" w:cs="Times New Roman"/>
                <w:sz w:val="28"/>
                <w:szCs w:val="28"/>
              </w:rPr>
            </w:pPr>
            <w:r w:rsidRPr="00C36631">
              <w:rPr>
                <w:rFonts w:ascii="Times New Roman" w:hAnsi="Times New Roman" w:cs="Times New Roman"/>
                <w:sz w:val="28"/>
                <w:szCs w:val="28"/>
              </w:rPr>
              <w:t>2 Анализ существующих финансовых инструментов стимулирования инновационного бизнеса в России ……………………………………...</w:t>
            </w:r>
          </w:p>
          <w:p w:rsidR="001B6DE2" w:rsidRPr="00C36631" w:rsidRDefault="001B6DE2" w:rsidP="00CF73CA">
            <w:pPr>
              <w:spacing w:line="360" w:lineRule="auto"/>
              <w:ind w:left="321" w:hanging="4"/>
              <w:rPr>
                <w:rFonts w:ascii="Times New Roman" w:hAnsi="Times New Roman" w:cs="Times New Roman"/>
                <w:sz w:val="28"/>
                <w:szCs w:val="28"/>
              </w:rPr>
            </w:pPr>
            <w:r w:rsidRPr="00C36631">
              <w:rPr>
                <w:rFonts w:ascii="Times New Roman" w:hAnsi="Times New Roman" w:cs="Times New Roman"/>
                <w:sz w:val="28"/>
                <w:szCs w:val="28"/>
              </w:rPr>
              <w:t>2.1 Анализ уровня инновационной активности предприятий в отраслях ………………………………………………………………….</w:t>
            </w:r>
          </w:p>
          <w:p w:rsidR="001B6DE2" w:rsidRPr="00C36631" w:rsidRDefault="001B6DE2" w:rsidP="00CF73CA">
            <w:pPr>
              <w:spacing w:line="360" w:lineRule="auto"/>
              <w:ind w:left="321"/>
              <w:rPr>
                <w:rFonts w:ascii="Times New Roman" w:hAnsi="Times New Roman" w:cs="Times New Roman"/>
                <w:sz w:val="28"/>
                <w:szCs w:val="28"/>
              </w:rPr>
            </w:pPr>
            <w:r w:rsidRPr="00C36631">
              <w:rPr>
                <w:rFonts w:ascii="Times New Roman" w:hAnsi="Times New Roman" w:cs="Times New Roman"/>
                <w:sz w:val="28"/>
                <w:szCs w:val="28"/>
              </w:rPr>
              <w:t>2.2 Оценка динамики инновационного предпринимательства в регионах …………………………………………………………………</w:t>
            </w:r>
          </w:p>
          <w:p w:rsidR="001B6DE2" w:rsidRPr="00C36631" w:rsidRDefault="001B6DE2" w:rsidP="00CF73CA">
            <w:pPr>
              <w:spacing w:line="360" w:lineRule="auto"/>
              <w:ind w:left="321"/>
              <w:rPr>
                <w:rFonts w:ascii="Times New Roman" w:hAnsi="Times New Roman" w:cs="Times New Roman"/>
                <w:sz w:val="28"/>
                <w:szCs w:val="28"/>
              </w:rPr>
            </w:pPr>
            <w:r w:rsidRPr="00C36631">
              <w:rPr>
                <w:rFonts w:ascii="Times New Roman" w:hAnsi="Times New Roman" w:cs="Times New Roman"/>
                <w:sz w:val="28"/>
                <w:szCs w:val="28"/>
              </w:rPr>
              <w:t>2.3 Анализ эффективности действующих финансовых инструментов стимулирования инновационного бизнеса …………………………….</w:t>
            </w:r>
          </w:p>
          <w:p w:rsidR="001B6DE2" w:rsidRPr="00C36631" w:rsidRDefault="001B6DE2" w:rsidP="00CF73CA">
            <w:pPr>
              <w:spacing w:line="360" w:lineRule="auto"/>
              <w:rPr>
                <w:rFonts w:ascii="Times New Roman" w:hAnsi="Times New Roman" w:cs="Times New Roman"/>
                <w:sz w:val="28"/>
                <w:szCs w:val="28"/>
              </w:rPr>
            </w:pPr>
            <w:r w:rsidRPr="00C36631">
              <w:rPr>
                <w:rFonts w:ascii="Times New Roman" w:hAnsi="Times New Roman" w:cs="Times New Roman"/>
                <w:sz w:val="28"/>
                <w:szCs w:val="28"/>
              </w:rPr>
              <w:t>3 Направления по совершенствованию финансовых инструментов стимулирования инновационного бизнеса в российской экономике …...</w:t>
            </w:r>
          </w:p>
          <w:p w:rsidR="001B6DE2" w:rsidRPr="00C36631" w:rsidRDefault="001B6DE2" w:rsidP="00CF73CA">
            <w:pPr>
              <w:spacing w:line="360" w:lineRule="auto"/>
              <w:ind w:left="321"/>
              <w:rPr>
                <w:rFonts w:ascii="Times New Roman" w:hAnsi="Times New Roman" w:cs="Times New Roman"/>
                <w:sz w:val="28"/>
                <w:szCs w:val="28"/>
              </w:rPr>
            </w:pPr>
            <w:r w:rsidRPr="00C36631">
              <w:rPr>
                <w:rFonts w:ascii="Times New Roman" w:hAnsi="Times New Roman" w:cs="Times New Roman"/>
                <w:sz w:val="28"/>
                <w:szCs w:val="28"/>
              </w:rPr>
              <w:t>3.1 Рекомендации по совершенствованию механизма субсидирования и грантовой поддержки инновационных разработок…………………………………………………………………</w:t>
            </w:r>
          </w:p>
          <w:p w:rsidR="001B6DE2" w:rsidRPr="00C36631" w:rsidRDefault="001B6DE2" w:rsidP="00CF73CA">
            <w:pPr>
              <w:spacing w:line="360" w:lineRule="auto"/>
              <w:ind w:left="321"/>
              <w:rPr>
                <w:rFonts w:ascii="Times New Roman" w:hAnsi="Times New Roman" w:cs="Times New Roman"/>
                <w:sz w:val="28"/>
                <w:szCs w:val="28"/>
              </w:rPr>
            </w:pPr>
            <w:r w:rsidRPr="00C36631">
              <w:rPr>
                <w:rFonts w:ascii="Times New Roman" w:hAnsi="Times New Roman" w:cs="Times New Roman"/>
                <w:sz w:val="28"/>
                <w:szCs w:val="28"/>
              </w:rPr>
              <w:t>3.2 Предложения по налоговому стимулированию инновационного</w:t>
            </w:r>
          </w:p>
          <w:p w:rsidR="001B6DE2" w:rsidRPr="00C36631" w:rsidRDefault="001B6DE2" w:rsidP="00CF73CA">
            <w:pPr>
              <w:spacing w:line="360" w:lineRule="auto"/>
              <w:rPr>
                <w:rFonts w:ascii="Times New Roman" w:hAnsi="Times New Roman" w:cs="Times New Roman"/>
                <w:sz w:val="28"/>
                <w:szCs w:val="28"/>
              </w:rPr>
            </w:pPr>
            <w:r w:rsidRPr="00C36631">
              <w:rPr>
                <w:rFonts w:ascii="Times New Roman" w:hAnsi="Times New Roman" w:cs="Times New Roman"/>
                <w:sz w:val="28"/>
                <w:szCs w:val="28"/>
              </w:rPr>
              <w:t>Заключение…………………………………………………………………..</w:t>
            </w:r>
          </w:p>
          <w:p w:rsidR="001B6DE2" w:rsidRPr="00C36631" w:rsidRDefault="001B6DE2" w:rsidP="00CF73CA">
            <w:pPr>
              <w:spacing w:line="360" w:lineRule="auto"/>
              <w:ind w:right="-858"/>
              <w:rPr>
                <w:rFonts w:ascii="Times New Roman" w:hAnsi="Times New Roman" w:cs="Times New Roman"/>
                <w:sz w:val="28"/>
                <w:szCs w:val="28"/>
              </w:rPr>
            </w:pPr>
            <w:r w:rsidRPr="00C36631">
              <w:rPr>
                <w:rFonts w:ascii="Times New Roman" w:hAnsi="Times New Roman" w:cs="Times New Roman"/>
                <w:sz w:val="28"/>
                <w:szCs w:val="28"/>
              </w:rPr>
              <w:t xml:space="preserve">Список использованных источников……………………………………      </w:t>
            </w:r>
          </w:p>
        </w:tc>
        <w:tc>
          <w:tcPr>
            <w:tcW w:w="712" w:type="dxa"/>
          </w:tcPr>
          <w:p w:rsidR="001B6DE2" w:rsidRPr="00C36631" w:rsidRDefault="001B6DE2" w:rsidP="00CF73CA">
            <w:pPr>
              <w:spacing w:line="360" w:lineRule="auto"/>
              <w:rPr>
                <w:rFonts w:ascii="Times New Roman" w:hAnsi="Times New Roman" w:cs="Times New Roman"/>
                <w:sz w:val="28"/>
                <w:szCs w:val="28"/>
              </w:rPr>
            </w:pPr>
            <w:r w:rsidRPr="00C36631">
              <w:rPr>
                <w:rFonts w:ascii="Times New Roman" w:hAnsi="Times New Roman" w:cs="Times New Roman"/>
                <w:sz w:val="28"/>
                <w:szCs w:val="28"/>
              </w:rPr>
              <w:t>3</w:t>
            </w:r>
          </w:p>
          <w:p w:rsidR="001B6DE2" w:rsidRPr="00C36631" w:rsidRDefault="001B6DE2" w:rsidP="00CF73CA">
            <w:pPr>
              <w:spacing w:line="360" w:lineRule="auto"/>
              <w:rPr>
                <w:rFonts w:ascii="Times New Roman" w:hAnsi="Times New Roman" w:cs="Times New Roman"/>
                <w:sz w:val="28"/>
                <w:szCs w:val="28"/>
              </w:rPr>
            </w:pPr>
          </w:p>
          <w:p w:rsidR="001B6DE2" w:rsidRPr="00C36631" w:rsidRDefault="001B6DE2" w:rsidP="00CF73CA">
            <w:pPr>
              <w:spacing w:line="360" w:lineRule="auto"/>
              <w:rPr>
                <w:rFonts w:ascii="Times New Roman" w:hAnsi="Times New Roman" w:cs="Times New Roman"/>
                <w:sz w:val="28"/>
                <w:szCs w:val="28"/>
              </w:rPr>
            </w:pPr>
            <w:r w:rsidRPr="00C36631">
              <w:rPr>
                <w:rFonts w:ascii="Times New Roman" w:hAnsi="Times New Roman" w:cs="Times New Roman"/>
                <w:sz w:val="28"/>
                <w:szCs w:val="28"/>
              </w:rPr>
              <w:t>8</w:t>
            </w:r>
          </w:p>
          <w:p w:rsidR="001B6DE2" w:rsidRPr="00C36631" w:rsidRDefault="001B6DE2" w:rsidP="00CF73CA">
            <w:pPr>
              <w:spacing w:line="360" w:lineRule="auto"/>
              <w:rPr>
                <w:rFonts w:ascii="Times New Roman" w:hAnsi="Times New Roman" w:cs="Times New Roman"/>
                <w:sz w:val="28"/>
                <w:szCs w:val="28"/>
              </w:rPr>
            </w:pPr>
            <w:r w:rsidRPr="00C36631">
              <w:rPr>
                <w:rFonts w:ascii="Times New Roman" w:hAnsi="Times New Roman" w:cs="Times New Roman"/>
                <w:sz w:val="28"/>
                <w:szCs w:val="28"/>
              </w:rPr>
              <w:t>8</w:t>
            </w:r>
          </w:p>
          <w:p w:rsidR="001B6DE2" w:rsidRPr="00C36631" w:rsidRDefault="001B6DE2" w:rsidP="00CF73CA">
            <w:pPr>
              <w:spacing w:line="360" w:lineRule="auto"/>
              <w:rPr>
                <w:rFonts w:ascii="Times New Roman" w:hAnsi="Times New Roman" w:cs="Times New Roman"/>
                <w:sz w:val="28"/>
                <w:szCs w:val="28"/>
              </w:rPr>
            </w:pPr>
          </w:p>
          <w:p w:rsidR="001B6DE2" w:rsidRPr="00C36631" w:rsidRDefault="001B6DE2" w:rsidP="00CF73CA">
            <w:pPr>
              <w:spacing w:line="360" w:lineRule="auto"/>
              <w:rPr>
                <w:rFonts w:ascii="Times New Roman" w:hAnsi="Times New Roman" w:cs="Times New Roman"/>
                <w:sz w:val="28"/>
                <w:szCs w:val="28"/>
              </w:rPr>
            </w:pPr>
            <w:r w:rsidRPr="00C36631">
              <w:rPr>
                <w:rFonts w:ascii="Times New Roman" w:hAnsi="Times New Roman" w:cs="Times New Roman"/>
                <w:sz w:val="28"/>
                <w:szCs w:val="28"/>
              </w:rPr>
              <w:t>15</w:t>
            </w:r>
          </w:p>
          <w:p w:rsidR="001B6DE2" w:rsidRPr="00C36631" w:rsidRDefault="001B6DE2" w:rsidP="00CF73CA">
            <w:pPr>
              <w:spacing w:line="360" w:lineRule="auto"/>
              <w:rPr>
                <w:rFonts w:ascii="Times New Roman" w:hAnsi="Times New Roman" w:cs="Times New Roman"/>
                <w:sz w:val="28"/>
                <w:szCs w:val="28"/>
              </w:rPr>
            </w:pPr>
          </w:p>
          <w:p w:rsidR="001B6DE2" w:rsidRPr="00C36631" w:rsidRDefault="001B6DE2" w:rsidP="00CF73CA">
            <w:pPr>
              <w:spacing w:line="360" w:lineRule="auto"/>
              <w:rPr>
                <w:rFonts w:ascii="Times New Roman" w:hAnsi="Times New Roman" w:cs="Times New Roman"/>
                <w:sz w:val="28"/>
                <w:szCs w:val="28"/>
              </w:rPr>
            </w:pPr>
            <w:r w:rsidRPr="00C36631">
              <w:rPr>
                <w:rFonts w:ascii="Times New Roman" w:hAnsi="Times New Roman" w:cs="Times New Roman"/>
                <w:sz w:val="28"/>
                <w:szCs w:val="28"/>
              </w:rPr>
              <w:t>19</w:t>
            </w:r>
          </w:p>
          <w:p w:rsidR="001B6DE2" w:rsidRPr="00C36631" w:rsidRDefault="001B6DE2" w:rsidP="00CF73CA">
            <w:pPr>
              <w:spacing w:line="360" w:lineRule="auto"/>
              <w:rPr>
                <w:rFonts w:ascii="Times New Roman" w:hAnsi="Times New Roman" w:cs="Times New Roman"/>
                <w:sz w:val="28"/>
                <w:szCs w:val="28"/>
              </w:rPr>
            </w:pPr>
          </w:p>
          <w:p w:rsidR="001B6DE2" w:rsidRPr="00C36631" w:rsidRDefault="001B6DE2" w:rsidP="00CF73CA">
            <w:pPr>
              <w:spacing w:line="360" w:lineRule="auto"/>
              <w:rPr>
                <w:rFonts w:ascii="Times New Roman" w:hAnsi="Times New Roman" w:cs="Times New Roman"/>
                <w:sz w:val="28"/>
                <w:szCs w:val="28"/>
              </w:rPr>
            </w:pPr>
            <w:r w:rsidRPr="00C36631">
              <w:rPr>
                <w:rFonts w:ascii="Times New Roman" w:hAnsi="Times New Roman" w:cs="Times New Roman"/>
                <w:sz w:val="28"/>
                <w:szCs w:val="28"/>
              </w:rPr>
              <w:t>32</w:t>
            </w:r>
          </w:p>
          <w:p w:rsidR="001B6DE2" w:rsidRPr="00C36631" w:rsidRDefault="001B6DE2" w:rsidP="00CF73CA">
            <w:pPr>
              <w:spacing w:line="360" w:lineRule="auto"/>
              <w:rPr>
                <w:rFonts w:ascii="Times New Roman" w:hAnsi="Times New Roman" w:cs="Times New Roman"/>
                <w:sz w:val="28"/>
                <w:szCs w:val="28"/>
              </w:rPr>
            </w:pPr>
          </w:p>
          <w:p w:rsidR="001B6DE2" w:rsidRPr="00C36631" w:rsidRDefault="001B6DE2" w:rsidP="00CF73CA">
            <w:pPr>
              <w:spacing w:line="360" w:lineRule="auto"/>
              <w:rPr>
                <w:rFonts w:ascii="Times New Roman" w:hAnsi="Times New Roman" w:cs="Times New Roman"/>
                <w:sz w:val="28"/>
                <w:szCs w:val="28"/>
              </w:rPr>
            </w:pPr>
            <w:r w:rsidRPr="00C36631">
              <w:rPr>
                <w:rFonts w:ascii="Times New Roman" w:hAnsi="Times New Roman" w:cs="Times New Roman"/>
                <w:sz w:val="28"/>
                <w:szCs w:val="28"/>
              </w:rPr>
              <w:t>32</w:t>
            </w:r>
          </w:p>
          <w:p w:rsidR="001B6DE2" w:rsidRPr="00C36631" w:rsidRDefault="001B6DE2" w:rsidP="00CF73CA">
            <w:pPr>
              <w:spacing w:line="360" w:lineRule="auto"/>
              <w:rPr>
                <w:rFonts w:ascii="Times New Roman" w:hAnsi="Times New Roman" w:cs="Times New Roman"/>
                <w:sz w:val="28"/>
                <w:szCs w:val="28"/>
              </w:rPr>
            </w:pPr>
          </w:p>
          <w:p w:rsidR="001B6DE2" w:rsidRPr="00C36631" w:rsidRDefault="001B6DE2" w:rsidP="00CF73CA">
            <w:pPr>
              <w:spacing w:line="360" w:lineRule="auto"/>
              <w:rPr>
                <w:rFonts w:ascii="Times New Roman" w:hAnsi="Times New Roman" w:cs="Times New Roman"/>
                <w:sz w:val="28"/>
                <w:szCs w:val="28"/>
              </w:rPr>
            </w:pPr>
            <w:r w:rsidRPr="00C36631">
              <w:rPr>
                <w:rFonts w:ascii="Times New Roman" w:hAnsi="Times New Roman" w:cs="Times New Roman"/>
                <w:sz w:val="28"/>
                <w:szCs w:val="28"/>
              </w:rPr>
              <w:t>43</w:t>
            </w:r>
          </w:p>
          <w:p w:rsidR="001B6DE2" w:rsidRPr="00C36631" w:rsidRDefault="001B6DE2" w:rsidP="00CF73CA">
            <w:pPr>
              <w:spacing w:line="360" w:lineRule="auto"/>
              <w:rPr>
                <w:rFonts w:ascii="Times New Roman" w:hAnsi="Times New Roman" w:cs="Times New Roman"/>
                <w:sz w:val="28"/>
                <w:szCs w:val="28"/>
              </w:rPr>
            </w:pPr>
          </w:p>
          <w:p w:rsidR="001B6DE2" w:rsidRPr="00C36631" w:rsidRDefault="001B6DE2" w:rsidP="00CF73CA">
            <w:pPr>
              <w:spacing w:line="360" w:lineRule="auto"/>
              <w:rPr>
                <w:rFonts w:ascii="Times New Roman" w:hAnsi="Times New Roman" w:cs="Times New Roman"/>
                <w:sz w:val="28"/>
                <w:szCs w:val="28"/>
              </w:rPr>
            </w:pPr>
            <w:r w:rsidRPr="00C36631">
              <w:rPr>
                <w:rFonts w:ascii="Times New Roman" w:hAnsi="Times New Roman" w:cs="Times New Roman"/>
                <w:sz w:val="28"/>
                <w:szCs w:val="28"/>
              </w:rPr>
              <w:t>49</w:t>
            </w:r>
          </w:p>
          <w:p w:rsidR="001B6DE2" w:rsidRPr="00C36631" w:rsidRDefault="001B6DE2" w:rsidP="00CF73CA">
            <w:pPr>
              <w:spacing w:line="360" w:lineRule="auto"/>
              <w:rPr>
                <w:rFonts w:ascii="Times New Roman" w:hAnsi="Times New Roman" w:cs="Times New Roman"/>
                <w:sz w:val="28"/>
                <w:szCs w:val="28"/>
              </w:rPr>
            </w:pPr>
          </w:p>
          <w:p w:rsidR="001B6DE2" w:rsidRPr="00C36631" w:rsidRDefault="001B6DE2" w:rsidP="00CF73CA">
            <w:pPr>
              <w:spacing w:line="360" w:lineRule="auto"/>
              <w:rPr>
                <w:rFonts w:ascii="Times New Roman" w:hAnsi="Times New Roman" w:cs="Times New Roman"/>
                <w:sz w:val="28"/>
                <w:szCs w:val="28"/>
              </w:rPr>
            </w:pPr>
            <w:r w:rsidRPr="00C36631">
              <w:rPr>
                <w:rFonts w:ascii="Times New Roman" w:hAnsi="Times New Roman" w:cs="Times New Roman"/>
                <w:sz w:val="28"/>
                <w:szCs w:val="28"/>
              </w:rPr>
              <w:t>5</w:t>
            </w:r>
            <w:r>
              <w:rPr>
                <w:rFonts w:ascii="Times New Roman" w:hAnsi="Times New Roman" w:cs="Times New Roman"/>
                <w:sz w:val="28"/>
                <w:szCs w:val="28"/>
              </w:rPr>
              <w:t>2</w:t>
            </w:r>
          </w:p>
          <w:p w:rsidR="001B6DE2" w:rsidRPr="00C36631" w:rsidRDefault="001B6DE2" w:rsidP="00CF73CA">
            <w:pPr>
              <w:spacing w:line="360" w:lineRule="auto"/>
              <w:rPr>
                <w:rFonts w:ascii="Times New Roman" w:hAnsi="Times New Roman" w:cs="Times New Roman"/>
                <w:sz w:val="28"/>
                <w:szCs w:val="28"/>
              </w:rPr>
            </w:pPr>
          </w:p>
          <w:p w:rsidR="001B6DE2" w:rsidRPr="00C36631" w:rsidRDefault="001B6DE2" w:rsidP="00CF73CA">
            <w:pPr>
              <w:spacing w:line="360" w:lineRule="auto"/>
              <w:rPr>
                <w:rFonts w:ascii="Times New Roman" w:hAnsi="Times New Roman" w:cs="Times New Roman"/>
                <w:sz w:val="28"/>
                <w:szCs w:val="28"/>
              </w:rPr>
            </w:pPr>
          </w:p>
          <w:p w:rsidR="001B6DE2" w:rsidRPr="00C36631" w:rsidRDefault="001B6DE2" w:rsidP="00CF73CA">
            <w:pPr>
              <w:spacing w:line="360" w:lineRule="auto"/>
              <w:rPr>
                <w:rFonts w:ascii="Times New Roman" w:hAnsi="Times New Roman" w:cs="Times New Roman"/>
                <w:sz w:val="28"/>
                <w:szCs w:val="28"/>
              </w:rPr>
            </w:pPr>
            <w:r>
              <w:rPr>
                <w:rFonts w:ascii="Times New Roman" w:hAnsi="Times New Roman" w:cs="Times New Roman"/>
                <w:sz w:val="28"/>
                <w:szCs w:val="28"/>
              </w:rPr>
              <w:t>52</w:t>
            </w:r>
          </w:p>
          <w:p w:rsidR="001B6DE2" w:rsidRPr="00C36631" w:rsidRDefault="001B6DE2" w:rsidP="00CF73CA">
            <w:pPr>
              <w:spacing w:line="360" w:lineRule="auto"/>
              <w:rPr>
                <w:rFonts w:ascii="Times New Roman" w:hAnsi="Times New Roman" w:cs="Times New Roman"/>
                <w:sz w:val="28"/>
                <w:szCs w:val="28"/>
              </w:rPr>
            </w:pPr>
            <w:r w:rsidRPr="00C36631">
              <w:rPr>
                <w:rFonts w:ascii="Times New Roman" w:hAnsi="Times New Roman" w:cs="Times New Roman"/>
                <w:sz w:val="28"/>
                <w:szCs w:val="28"/>
              </w:rPr>
              <w:t>59</w:t>
            </w:r>
          </w:p>
          <w:p w:rsidR="001B6DE2" w:rsidRDefault="001B6DE2" w:rsidP="00CF73CA">
            <w:pPr>
              <w:spacing w:line="360" w:lineRule="auto"/>
              <w:rPr>
                <w:rFonts w:ascii="Times New Roman" w:hAnsi="Times New Roman" w:cs="Times New Roman"/>
                <w:sz w:val="28"/>
                <w:szCs w:val="28"/>
                <w:lang w:val="en-US"/>
              </w:rPr>
            </w:pPr>
            <w:r w:rsidRPr="00C36631">
              <w:rPr>
                <w:rFonts w:ascii="Times New Roman" w:hAnsi="Times New Roman" w:cs="Times New Roman"/>
                <w:sz w:val="28"/>
                <w:szCs w:val="28"/>
              </w:rPr>
              <w:t>68</w:t>
            </w:r>
          </w:p>
          <w:p w:rsidR="001B6DE2" w:rsidRPr="00FE0DBA" w:rsidRDefault="001B6DE2" w:rsidP="00CF73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73</w:t>
            </w:r>
          </w:p>
        </w:tc>
      </w:tr>
    </w:tbl>
    <w:p w:rsidR="001B6DE2" w:rsidRPr="00C36631" w:rsidRDefault="001B6DE2" w:rsidP="001B6DE2">
      <w:pPr>
        <w:spacing w:after="0" w:line="240" w:lineRule="auto"/>
        <w:rPr>
          <w:rFonts w:ascii="Times New Roman" w:eastAsia="Calibri" w:hAnsi="Times New Roman" w:cs="Times New Roman"/>
          <w:b/>
          <w:noProof/>
          <w:color w:val="000000"/>
          <w:sz w:val="28"/>
          <w:szCs w:val="28"/>
          <w:lang w:eastAsia="ru-RU"/>
        </w:rPr>
      </w:pPr>
    </w:p>
    <w:p w:rsidR="001B6DE2" w:rsidRPr="00C36631" w:rsidRDefault="001B6DE2" w:rsidP="001B6DE2"/>
    <w:p w:rsidR="001B6DE2" w:rsidRPr="00C36631" w:rsidRDefault="001B6DE2" w:rsidP="001B6DE2"/>
    <w:p w:rsidR="001B6DE2" w:rsidRPr="00C36631" w:rsidRDefault="001B6DE2" w:rsidP="001B6DE2"/>
    <w:p w:rsidR="001B6DE2" w:rsidRPr="00C36631" w:rsidRDefault="001B6DE2" w:rsidP="001B6DE2"/>
    <w:p w:rsidR="001B6DE2" w:rsidRPr="00535E7D" w:rsidRDefault="001B6DE2" w:rsidP="001B6DE2">
      <w:pPr>
        <w:spacing w:after="0" w:line="360" w:lineRule="auto"/>
        <w:jc w:val="center"/>
        <w:rPr>
          <w:rFonts w:ascii="Times New Roman" w:eastAsia="Times New Roman" w:hAnsi="Times New Roman" w:cs="Times New Roman"/>
          <w:b/>
          <w:bCs/>
          <w:sz w:val="28"/>
          <w:szCs w:val="28"/>
        </w:rPr>
      </w:pPr>
      <w:r w:rsidRPr="00535E7D">
        <w:rPr>
          <w:rFonts w:ascii="Times New Roman" w:eastAsia="Times New Roman" w:hAnsi="Times New Roman" w:cs="Times New Roman"/>
          <w:b/>
          <w:bCs/>
          <w:sz w:val="28"/>
          <w:szCs w:val="28"/>
        </w:rPr>
        <w:lastRenderedPageBreak/>
        <w:t>ВВЕДЕНИЕ</w:t>
      </w:r>
    </w:p>
    <w:p w:rsidR="001B6DE2" w:rsidRPr="00C36631" w:rsidRDefault="001B6DE2" w:rsidP="001B6DE2">
      <w:pPr>
        <w:spacing w:after="0" w:line="360" w:lineRule="auto"/>
        <w:ind w:firstLine="567"/>
        <w:rPr>
          <w:rFonts w:ascii="Times New Roman" w:eastAsia="Times New Roman" w:hAnsi="Times New Roman" w:cs="Times New Roman"/>
          <w:bCs/>
          <w:sz w:val="24"/>
          <w:szCs w:val="24"/>
        </w:rPr>
      </w:pP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Bold" w:eastAsia="Calibri" w:hAnsi="Times New Roman,Bold" w:cs="Times New Roman,Bold"/>
          <w:bCs/>
          <w:sz w:val="28"/>
          <w:szCs w:val="28"/>
        </w:rPr>
        <w:t xml:space="preserve">Актуальность темы исследования. </w:t>
      </w:r>
      <w:r w:rsidRPr="00117327">
        <w:rPr>
          <w:rFonts w:ascii="Times New Roman" w:eastAsia="Calibri" w:hAnsi="Times New Roman" w:cs="Times New Roman"/>
          <w:sz w:val="28"/>
          <w:szCs w:val="28"/>
        </w:rPr>
        <w:t>В современной экономике инновационный бизнес играет ключевую роль в стимулировании роста, конкурентоспособности и устойчивом развитии страны. Российская экономика не является исключением, и вопросы, связанные с созданием и поддержкой инновационных предприятий, становятся все более актуальными. Одним из важных факторов, способствующих развитию инновационного бизнеса являются финансовые инструменты, специально разработанные для стимулирования инноваций.</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Исследование теоретико-методологических аспектов финансовых инструментов стимулирования инновационного бизнеса в российской экономике является важной задачей в современных условиях, так как развитие инновационного сектора имеет стратегическое значение для устойчивого экономического роста России.</w:t>
      </w:r>
    </w:p>
    <w:p w:rsidR="001B6DE2" w:rsidRPr="00117327" w:rsidRDefault="001B6DE2" w:rsidP="001B6DE2">
      <w:pPr>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 xml:space="preserve">Данными тезисами и обоснована актуальность темы магистерской диссертации. </w:t>
      </w:r>
    </w:p>
    <w:p w:rsidR="001B6DE2" w:rsidRPr="00117327" w:rsidRDefault="001B6DE2" w:rsidP="001B6DE2">
      <w:pPr>
        <w:spacing w:after="0" w:line="360" w:lineRule="auto"/>
        <w:ind w:firstLine="709"/>
        <w:jc w:val="both"/>
        <w:rPr>
          <w:rFonts w:ascii="Times New Roman" w:eastAsia="Calibri" w:hAnsi="Times New Roman" w:cs="Times New Roman"/>
          <w:sz w:val="28"/>
          <w:szCs w:val="28"/>
        </w:rPr>
      </w:pPr>
      <w:r w:rsidRPr="00117327">
        <w:rPr>
          <w:rFonts w:ascii="Times New Roman,Bold" w:eastAsia="Calibri" w:hAnsi="Times New Roman,Bold" w:cs="Times New Roman,Bold"/>
          <w:bCs/>
          <w:sz w:val="28"/>
          <w:szCs w:val="28"/>
        </w:rPr>
        <w:t>Степень научной разработанности проблемы</w:t>
      </w:r>
      <w:r w:rsidRPr="00117327">
        <w:rPr>
          <w:rFonts w:ascii="Times New Roman" w:eastAsia="Calibri" w:hAnsi="Times New Roman" w:cs="Times New Roman"/>
          <w:sz w:val="28"/>
          <w:szCs w:val="28"/>
        </w:rPr>
        <w:t xml:space="preserve">. В ходе анализа подходящей литературы по теме магистерской диссертации было обнаружено большое количество публикаций и научных трудов, рассматривающих вопросы, касающиеся классификации инструментов стимулирования инновационного бизнеса в России, их эффективность и других аспектов. Например, в работах Е.И Алёхиной, К. И. Грасмик, И.Г. Ершовой, Н. М. Ивановой, Е.Г. Курган, А. Р. Сафиуллина, О. Д. Нечаевой, А. Л. Шляховой и других ученых. </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Bold" w:eastAsia="Calibri" w:hAnsi="Times New Roman,Bold" w:cs="Times New Roman,Bold"/>
          <w:bCs/>
          <w:sz w:val="28"/>
          <w:szCs w:val="28"/>
        </w:rPr>
        <w:t xml:space="preserve">Целью магистерской диссертации </w:t>
      </w:r>
      <w:r w:rsidRPr="00117327">
        <w:rPr>
          <w:rFonts w:ascii="Times New Roman" w:eastAsia="Calibri" w:hAnsi="Times New Roman" w:cs="Times New Roman"/>
          <w:sz w:val="28"/>
          <w:szCs w:val="28"/>
        </w:rPr>
        <w:t>является разработка теоретико-методических аспектов и практических рекомендаций, направленных на развитие финансовых инструментов стимулирования инновационной активности предприятий в РФ.</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lastRenderedPageBreak/>
        <w:t>В соответствии с целью магистерской диссертации в работе решаются следующие задачи:</w:t>
      </w:r>
    </w:p>
    <w:p w:rsidR="001B6DE2" w:rsidRPr="00117327" w:rsidRDefault="001B6DE2" w:rsidP="001B6DE2">
      <w:pPr>
        <w:numPr>
          <w:ilvl w:val="0"/>
          <w:numId w:val="1"/>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исследовать теоретико-методические аспекты совершенствования финансовых инструментов стимулирования инновационного бизнеса в российской экономике;</w:t>
      </w:r>
    </w:p>
    <w:p w:rsidR="001B6DE2" w:rsidRPr="00117327" w:rsidRDefault="001B6DE2" w:rsidP="001B6DE2">
      <w:pPr>
        <w:numPr>
          <w:ilvl w:val="0"/>
          <w:numId w:val="1"/>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рассмотреть классификацию финансовых инструментов стимулирования инновационной деятельности предприятий;</w:t>
      </w:r>
    </w:p>
    <w:p w:rsidR="001B6DE2" w:rsidRPr="00117327" w:rsidRDefault="001B6DE2" w:rsidP="001B6DE2">
      <w:pPr>
        <w:numPr>
          <w:ilvl w:val="0"/>
          <w:numId w:val="1"/>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исследовать финансовый механизм стимулирования инновационной активности предприятий на отраслевом и региональном уровнях;</w:t>
      </w:r>
    </w:p>
    <w:p w:rsidR="001B6DE2" w:rsidRPr="00117327" w:rsidRDefault="001B6DE2" w:rsidP="001B6DE2">
      <w:pPr>
        <w:numPr>
          <w:ilvl w:val="0"/>
          <w:numId w:val="1"/>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провести анализ динамики развития инновационного бизнеса в РФ на отраслевом и региональном уровнях;</w:t>
      </w:r>
    </w:p>
    <w:p w:rsidR="001B6DE2" w:rsidRPr="00117327" w:rsidRDefault="001B6DE2" w:rsidP="001B6DE2">
      <w:pPr>
        <w:numPr>
          <w:ilvl w:val="0"/>
          <w:numId w:val="1"/>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проанализировать эффективность действующих финансовых инструментов стимулирования инновационного бизнеса;</w:t>
      </w:r>
    </w:p>
    <w:p w:rsidR="001B6DE2" w:rsidRPr="00117327" w:rsidRDefault="001B6DE2" w:rsidP="001B6DE2">
      <w:pPr>
        <w:numPr>
          <w:ilvl w:val="0"/>
          <w:numId w:val="1"/>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разработать рекомендации по совершенствованию механизма субсидирования и грантовой поддержки инновационных разработок российских предприятий;</w:t>
      </w:r>
    </w:p>
    <w:p w:rsidR="001B6DE2" w:rsidRPr="00117327" w:rsidRDefault="001B6DE2" w:rsidP="001B6DE2">
      <w:pPr>
        <w:numPr>
          <w:ilvl w:val="0"/>
          <w:numId w:val="1"/>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разработать предложения по налоговому стимулированию инновационного бизнеса в РФ.</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Объектом исследования являются финансовые инструменты стимулирования инновационной активности предприятий в Российской Федерации.</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Предметом исследования являются экономические отношения, возникающие в процессе совершенствования финансовых инструментов стимулирования инновационного бизнеса на отраслевом и региональном уровнях.</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 xml:space="preserve">Информационная база исследования представлена данными Росстата, Российской ассоциации венчурного инвестирования, аналитическими обзорами и материалами информационных агентств, данными из официальных сайтов российских компаний, отраслевых министерств, </w:t>
      </w:r>
      <w:r w:rsidRPr="00117327">
        <w:rPr>
          <w:rFonts w:ascii="Times New Roman" w:eastAsia="Calibri" w:hAnsi="Times New Roman" w:cs="Times New Roman"/>
          <w:sz w:val="28"/>
          <w:szCs w:val="28"/>
        </w:rPr>
        <w:lastRenderedPageBreak/>
        <w:t>региональных администраций, а также научной и специальной литература по проблемам стимулирования инновационного предпринимательства.</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Рабочая гипотеза диссертационного исследования заключается в предположении о том, что для развития инновационного бизнеса в России необходимо совершенствование действующих и разработка новых финансовых инструментов стимулирования инновационного предпринимательства.</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 xml:space="preserve">Элементы научной новизны заключаются в следующем: </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1. Разработан авторский методический подход к оценке инновационных проектов при принятии решения о предоставлении грантовой поддержки и субсидий, предполагающий интегральную оценку инновационного проекта на основе следующих критериев: научно-технического, экономического, ресурсного, социального и экологического.  Данный подход позволит более точно выявлять наиболее перспективные инновационные проекты для предоставления грантов и субсидий.</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2. Усовершенствован механизм налогового стимулирования по привлечению внешних частных инвестиций, направленных на реализацию инновационных проектов предприятий. Стимулирование частных инвесторов осуществляется за счет введения дифференцированной шкалы налогового вычета по налогу на прибыль в зависимости от объема инвестиций в НИОКР инновационных предприятий. Предложенный механизм позволит увеличить объем внешних частных инвестиций в НИОКР и снизит налоговую нагрузку на частных инвесторов.</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3. Дополнен инструмент налогового стимулирования за счет внедрения дифференцированной шкалы по налогу на прибыль для малых и средних инновационных предприятий, занимающихся научно-исследовательскими работами, что поможет стимулировать инновационную активность среди МСП и поспособствует развитию новых технологий.</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bCs/>
          <w:sz w:val="28"/>
          <w:szCs w:val="28"/>
        </w:rPr>
        <w:t>Научно-практическая значимость магистерской диссертации.</w:t>
      </w:r>
      <w:r w:rsidRPr="00117327">
        <w:rPr>
          <w:rFonts w:ascii="Times New Roman" w:eastAsia="Calibri" w:hAnsi="Times New Roman" w:cs="Times New Roman"/>
          <w:sz w:val="28"/>
          <w:szCs w:val="28"/>
        </w:rPr>
        <w:t xml:space="preserve"> Теоретическая значимость ВКР заключается в систематизации научных </w:t>
      </w:r>
      <w:r w:rsidRPr="00117327">
        <w:rPr>
          <w:rFonts w:ascii="Times New Roman" w:eastAsia="Calibri" w:hAnsi="Times New Roman" w:cs="Times New Roman"/>
          <w:sz w:val="28"/>
          <w:szCs w:val="28"/>
        </w:rPr>
        <w:lastRenderedPageBreak/>
        <w:t xml:space="preserve">знаний в области методологии развития финансовых инструментов государственной поддержки инновационного предпринимательства. Практическая значимость результатов работы состоит в разработке рекомендаций по совершенствованию финансовых инструментов, стимулирующих развитие инновационного бизнеса и создающих для него благоприятную среду. </w:t>
      </w:r>
    </w:p>
    <w:p w:rsidR="001B6DE2" w:rsidRPr="00117327" w:rsidRDefault="001B6DE2" w:rsidP="001B6DE2">
      <w:pPr>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 xml:space="preserve">Апробация результатов исследования.  По теме исследования опубликовано 2 статьи в таких научных изданиях, как «Молодой ученый» и «Символ науки». </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 xml:space="preserve">Структура магистерской диссертации.  </w:t>
      </w:r>
    </w:p>
    <w:p w:rsidR="001B6DE2" w:rsidRPr="00117327" w:rsidRDefault="001B6DE2" w:rsidP="001B6DE2">
      <w:pPr>
        <w:spacing w:after="0" w:line="360" w:lineRule="auto"/>
        <w:ind w:firstLine="708"/>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Структура ВКР включает введение, три главы, заключение, список использованных источников. Во введении обоснована актуальность выбранной темы, определены цель, задачи, объект и предмет исследования, теоретико-методологическая и информационная база магистерской диссертации, гипотеза и положения новизны.</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 xml:space="preserve">В первой главе рассмотрены теоретические аспекты совершенствования финансовых инструментов по стимулированию инновационного бизнеса: исследовано понятие инновационного бизнеса, его специфика и роль; классифицированы финансовые инструменты стимулирования инноваций; рассмотрены механизмы поддержки инновационная активность на отраслевом и региональном уровнях. </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 xml:space="preserve">Во второй главе диссертационного исследования проведён анализ уровня инновационной активности предприятий в отраслях; дана оценка динамики развития инновационного предпринимательства в регионах; проведён анализ эффективности действующих финансовых инструментов стимулирования инноваций в Российской Федерации. </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t xml:space="preserve">В третьей главе представлены авторские рекомендации по совершенствованию механизма субсидирования и грантовой поддержки инновационных разработок российских предприятий; предложены инструменты налогового стимулирования для частных инвестиций в НИОКР. </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17327">
        <w:rPr>
          <w:rFonts w:ascii="Times New Roman" w:eastAsia="Calibri" w:hAnsi="Times New Roman" w:cs="Times New Roman"/>
          <w:sz w:val="28"/>
          <w:szCs w:val="28"/>
        </w:rPr>
        <w:lastRenderedPageBreak/>
        <w:t xml:space="preserve">В заключении сформулированы основные выводы и обобщены результаты проведенного исследования. </w:t>
      </w:r>
    </w:p>
    <w:p w:rsidR="001B6DE2" w:rsidRPr="00C36631" w:rsidRDefault="001B6DE2" w:rsidP="001B6DE2">
      <w:pPr>
        <w:rPr>
          <w:rFonts w:ascii="Times New Roman" w:eastAsia="Calibri" w:hAnsi="Times New Roman" w:cs="Times New Roman"/>
          <w:sz w:val="28"/>
          <w:szCs w:val="28"/>
        </w:rPr>
      </w:pPr>
      <w:r w:rsidRPr="00117327">
        <w:rPr>
          <w:rFonts w:ascii="Times New Roman" w:eastAsia="Calibri" w:hAnsi="Times New Roman" w:cs="Times New Roman"/>
          <w:sz w:val="28"/>
          <w:szCs w:val="28"/>
        </w:rPr>
        <w:br w:type="page"/>
      </w:r>
    </w:p>
    <w:p w:rsidR="001B6DE2" w:rsidRPr="00117327" w:rsidRDefault="001B6DE2" w:rsidP="001B6DE2">
      <w:pPr>
        <w:spacing w:after="0" w:line="360" w:lineRule="auto"/>
        <w:ind w:firstLine="567"/>
        <w:jc w:val="both"/>
        <w:rPr>
          <w:rFonts w:ascii="Times New Roman" w:eastAsia="Calibri" w:hAnsi="Times New Roman" w:cs="Times New Roman"/>
          <w:b/>
          <w:sz w:val="28"/>
          <w:szCs w:val="28"/>
        </w:rPr>
      </w:pPr>
      <w:r w:rsidRPr="00117327">
        <w:rPr>
          <w:rFonts w:ascii="Times New Roman" w:eastAsia="Calibri" w:hAnsi="Times New Roman" w:cs="Times New Roman"/>
          <w:b/>
          <w:sz w:val="28"/>
          <w:szCs w:val="28"/>
        </w:rPr>
        <w:lastRenderedPageBreak/>
        <w:t>1 Теоретические основы совершенствования финансовых инструментов стимулирования инновационного бизнеса</w:t>
      </w:r>
    </w:p>
    <w:p w:rsidR="001B6DE2" w:rsidRPr="00117327" w:rsidRDefault="001B6DE2" w:rsidP="001B6DE2">
      <w:pPr>
        <w:spacing w:after="0" w:line="360" w:lineRule="auto"/>
        <w:ind w:firstLine="567"/>
        <w:jc w:val="both"/>
        <w:rPr>
          <w:rFonts w:ascii="Times New Roman" w:eastAsia="Calibri" w:hAnsi="Times New Roman" w:cs="Times New Roman"/>
          <w:b/>
          <w:sz w:val="28"/>
          <w:szCs w:val="28"/>
        </w:rPr>
      </w:pPr>
    </w:p>
    <w:p w:rsidR="001B6DE2" w:rsidRPr="00117327" w:rsidRDefault="001B6DE2" w:rsidP="001B6DE2">
      <w:pPr>
        <w:spacing w:after="0" w:line="360" w:lineRule="auto"/>
        <w:ind w:firstLine="567"/>
        <w:jc w:val="both"/>
        <w:rPr>
          <w:rFonts w:ascii="Times New Roman" w:eastAsia="Calibri" w:hAnsi="Times New Roman" w:cs="Times New Roman"/>
          <w:b/>
          <w:sz w:val="28"/>
          <w:szCs w:val="28"/>
        </w:rPr>
      </w:pPr>
      <w:r w:rsidRPr="00117327">
        <w:rPr>
          <w:rFonts w:ascii="Times New Roman" w:eastAsia="Calibri" w:hAnsi="Times New Roman" w:cs="Times New Roman"/>
          <w:b/>
          <w:sz w:val="28"/>
          <w:szCs w:val="28"/>
        </w:rPr>
        <w:t>1.1 Понятие и роль инновационного бизнеса в экономике</w:t>
      </w:r>
    </w:p>
    <w:p w:rsidR="001B6DE2" w:rsidRDefault="001B6DE2" w:rsidP="001B6DE2">
      <w:pPr>
        <w:autoSpaceDE w:val="0"/>
        <w:autoSpaceDN w:val="0"/>
        <w:adjustRightInd w:val="0"/>
        <w:spacing w:after="0" w:line="360" w:lineRule="auto"/>
        <w:ind w:firstLine="567"/>
        <w:jc w:val="both"/>
        <w:rPr>
          <w:rFonts w:ascii="Times New Roman" w:eastAsia="Calibri" w:hAnsi="Times New Roman" w:cs="Times New Roman"/>
          <w:b/>
          <w:sz w:val="28"/>
          <w:szCs w:val="28"/>
        </w:rPr>
      </w:pPr>
    </w:p>
    <w:p w:rsidR="001B6DE2" w:rsidRPr="001D11DC"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D11DC">
        <w:rPr>
          <w:rFonts w:ascii="Times New Roman" w:eastAsia="Calibri" w:hAnsi="Times New Roman" w:cs="Times New Roman"/>
          <w:sz w:val="28"/>
          <w:szCs w:val="28"/>
        </w:rPr>
        <w:t>Инновационный бизнес играет важную роль в современной экономике, способствуя ее развитию, конкурентоспособности и устойчивому росту. Понимание и оценка роли инновационного бизнеса позволяют лучше понять его важность и влияние на экономическую деятельность.</w:t>
      </w:r>
    </w:p>
    <w:p w:rsidR="001B6DE2" w:rsidRPr="001D11DC"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D11DC">
        <w:rPr>
          <w:rFonts w:ascii="Times New Roman" w:eastAsia="Calibri" w:hAnsi="Times New Roman" w:cs="Times New Roman"/>
          <w:sz w:val="28"/>
          <w:szCs w:val="28"/>
        </w:rPr>
        <w:t xml:space="preserve">Инновационный бизнес </w:t>
      </w:r>
      <w:r>
        <w:rPr>
          <w:rFonts w:ascii="Times New Roman" w:eastAsia="Calibri" w:hAnsi="Times New Roman" w:cs="Times New Roman"/>
          <w:sz w:val="28"/>
          <w:szCs w:val="28"/>
        </w:rPr>
        <w:t>- это</w:t>
      </w:r>
      <w:r w:rsidRPr="001D11DC">
        <w:rPr>
          <w:rFonts w:ascii="Times New Roman" w:eastAsia="Calibri" w:hAnsi="Times New Roman" w:cs="Times New Roman"/>
          <w:sz w:val="28"/>
          <w:szCs w:val="28"/>
        </w:rPr>
        <w:t xml:space="preserve"> форм</w:t>
      </w:r>
      <w:r>
        <w:rPr>
          <w:rFonts w:ascii="Times New Roman" w:eastAsia="Calibri" w:hAnsi="Times New Roman" w:cs="Times New Roman"/>
          <w:sz w:val="28"/>
          <w:szCs w:val="28"/>
        </w:rPr>
        <w:t>а</w:t>
      </w:r>
      <w:r w:rsidRPr="001D11DC">
        <w:rPr>
          <w:rFonts w:ascii="Times New Roman" w:eastAsia="Calibri" w:hAnsi="Times New Roman" w:cs="Times New Roman"/>
          <w:sz w:val="28"/>
          <w:szCs w:val="28"/>
        </w:rPr>
        <w:t xml:space="preserve"> предпринимательской деятельности, связанн</w:t>
      </w:r>
      <w:r>
        <w:rPr>
          <w:rFonts w:ascii="Times New Roman" w:eastAsia="Calibri" w:hAnsi="Times New Roman" w:cs="Times New Roman"/>
          <w:sz w:val="28"/>
          <w:szCs w:val="28"/>
        </w:rPr>
        <w:t>ая</w:t>
      </w:r>
      <w:r w:rsidRPr="001D11DC">
        <w:rPr>
          <w:rFonts w:ascii="Times New Roman" w:eastAsia="Calibri" w:hAnsi="Times New Roman" w:cs="Times New Roman"/>
          <w:sz w:val="28"/>
          <w:szCs w:val="28"/>
        </w:rPr>
        <w:t xml:space="preserve"> с разработкой, внедрением и коммерциализацией новых и</w:t>
      </w:r>
      <w:r>
        <w:rPr>
          <w:rFonts w:ascii="Times New Roman" w:eastAsia="Calibri" w:hAnsi="Times New Roman" w:cs="Times New Roman"/>
          <w:sz w:val="28"/>
          <w:szCs w:val="28"/>
        </w:rPr>
        <w:t>ли</w:t>
      </w:r>
      <w:r w:rsidRPr="001D11DC">
        <w:rPr>
          <w:rFonts w:ascii="Times New Roman" w:eastAsia="Calibri" w:hAnsi="Times New Roman" w:cs="Times New Roman"/>
          <w:sz w:val="28"/>
          <w:szCs w:val="28"/>
        </w:rPr>
        <w:t xml:space="preserve"> усовершенствованных продуктов, процессов и услуг. Этот тип бизнеса основа</w:t>
      </w:r>
      <w:r>
        <w:rPr>
          <w:rFonts w:ascii="Times New Roman" w:eastAsia="Calibri" w:hAnsi="Times New Roman" w:cs="Times New Roman"/>
          <w:sz w:val="28"/>
          <w:szCs w:val="28"/>
        </w:rPr>
        <w:t>н на постоянных исследованиях и изобретениях</w:t>
      </w:r>
      <w:r w:rsidRPr="001D11DC">
        <w:rPr>
          <w:rFonts w:ascii="Times New Roman" w:eastAsia="Calibri" w:hAnsi="Times New Roman" w:cs="Times New Roman"/>
          <w:sz w:val="28"/>
          <w:szCs w:val="28"/>
        </w:rPr>
        <w:t xml:space="preserve">, а также на внедрении </w:t>
      </w:r>
      <w:r>
        <w:rPr>
          <w:rFonts w:ascii="Times New Roman" w:eastAsia="Calibri" w:hAnsi="Times New Roman" w:cs="Times New Roman"/>
          <w:sz w:val="28"/>
          <w:szCs w:val="28"/>
        </w:rPr>
        <w:t>инноваций</w:t>
      </w:r>
      <w:r w:rsidRPr="001D11DC">
        <w:rPr>
          <w:rFonts w:ascii="Times New Roman" w:eastAsia="Calibri" w:hAnsi="Times New Roman" w:cs="Times New Roman"/>
          <w:sz w:val="28"/>
          <w:szCs w:val="28"/>
        </w:rPr>
        <w:t xml:space="preserve"> и </w:t>
      </w:r>
      <w:r>
        <w:rPr>
          <w:rFonts w:ascii="Times New Roman" w:eastAsia="Calibri" w:hAnsi="Times New Roman" w:cs="Times New Roman"/>
          <w:sz w:val="28"/>
          <w:szCs w:val="28"/>
        </w:rPr>
        <w:t>новаторских</w:t>
      </w:r>
      <w:r w:rsidRPr="001D11DC">
        <w:rPr>
          <w:rFonts w:ascii="Times New Roman" w:eastAsia="Calibri" w:hAnsi="Times New Roman" w:cs="Times New Roman"/>
          <w:sz w:val="28"/>
          <w:szCs w:val="28"/>
        </w:rPr>
        <w:t xml:space="preserve"> подходов.</w:t>
      </w:r>
    </w:p>
    <w:p w:rsidR="001B6DE2" w:rsidRPr="001D11DC"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D11DC">
        <w:rPr>
          <w:rFonts w:ascii="Times New Roman" w:eastAsia="Calibri" w:hAnsi="Times New Roman" w:cs="Times New Roman"/>
          <w:sz w:val="28"/>
          <w:szCs w:val="28"/>
        </w:rPr>
        <w:t xml:space="preserve">Что движет экономическим прогрессом, так это роль, которую инновационные предприятия играют, позволяя компаниям выйти на неиспользованные рынки и раскрыть </w:t>
      </w:r>
      <w:r>
        <w:rPr>
          <w:rFonts w:ascii="Times New Roman" w:eastAsia="Calibri" w:hAnsi="Times New Roman" w:cs="Times New Roman"/>
          <w:sz w:val="28"/>
          <w:szCs w:val="28"/>
        </w:rPr>
        <w:t>перспективы</w:t>
      </w:r>
      <w:r w:rsidRPr="001D11DC">
        <w:rPr>
          <w:rFonts w:ascii="Times New Roman" w:eastAsia="Calibri" w:hAnsi="Times New Roman" w:cs="Times New Roman"/>
          <w:sz w:val="28"/>
          <w:szCs w:val="28"/>
        </w:rPr>
        <w:t xml:space="preserve"> роста. Занимаясь инновационной деятельностью, предприятия не только развивают экономику за счет новых рабочих мест и инвестиций, но и способствуют развитию инфраструктуры. Подобные инновации повышают гибкость экономической среды, способству</w:t>
      </w:r>
      <w:r>
        <w:rPr>
          <w:rFonts w:ascii="Times New Roman" w:eastAsia="Calibri" w:hAnsi="Times New Roman" w:cs="Times New Roman"/>
          <w:sz w:val="28"/>
          <w:szCs w:val="28"/>
        </w:rPr>
        <w:t>я</w:t>
      </w:r>
      <w:r w:rsidRPr="001D11DC">
        <w:rPr>
          <w:rFonts w:ascii="Times New Roman" w:eastAsia="Calibri" w:hAnsi="Times New Roman" w:cs="Times New Roman"/>
          <w:sz w:val="28"/>
          <w:szCs w:val="28"/>
        </w:rPr>
        <w:t xml:space="preserve"> существенному укреплению позиций страны в мировом экономическом сообществе.</w:t>
      </w:r>
    </w:p>
    <w:p w:rsidR="001B6DE2" w:rsidRPr="001D11DC"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Компании подобного типа </w:t>
      </w:r>
      <w:r w:rsidRPr="001D11DC">
        <w:rPr>
          <w:rFonts w:ascii="Times New Roman" w:eastAsia="Calibri" w:hAnsi="Times New Roman" w:cs="Times New Roman"/>
          <w:sz w:val="28"/>
          <w:szCs w:val="28"/>
        </w:rPr>
        <w:t xml:space="preserve">считаются </w:t>
      </w:r>
      <w:r>
        <w:rPr>
          <w:rFonts w:ascii="Times New Roman" w:eastAsia="Calibri" w:hAnsi="Times New Roman" w:cs="Times New Roman"/>
          <w:sz w:val="28"/>
          <w:szCs w:val="28"/>
        </w:rPr>
        <w:t>основами</w:t>
      </w:r>
      <w:r w:rsidRPr="001D11DC">
        <w:rPr>
          <w:rFonts w:ascii="Times New Roman" w:eastAsia="Calibri" w:hAnsi="Times New Roman" w:cs="Times New Roman"/>
          <w:sz w:val="28"/>
          <w:szCs w:val="28"/>
        </w:rPr>
        <w:t xml:space="preserve"> для технологических открытий, предоставляющими продукты и услуги нового поколения, тем самым повышая общую производительность в различных областях. Подобные достижения позволяют существенно снизить себестоимость продукции, улучшить качество товаров, снизить негативное воздействие на окружающую среду и тем самым повлиять на общее повышение уровня жизни.</w:t>
      </w: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Из этого следует</w:t>
      </w:r>
      <w:r w:rsidRPr="001D11DC">
        <w:rPr>
          <w:rFonts w:ascii="Times New Roman" w:eastAsia="Calibri" w:hAnsi="Times New Roman" w:cs="Times New Roman"/>
          <w:sz w:val="28"/>
          <w:szCs w:val="28"/>
        </w:rPr>
        <w:t xml:space="preserve">, что инновационные предприятия – это не просто совокупность технологически продвинутых предприятий, а фундамент </w:t>
      </w:r>
      <w:r w:rsidRPr="001D11DC">
        <w:rPr>
          <w:rFonts w:ascii="Times New Roman" w:eastAsia="Calibri" w:hAnsi="Times New Roman" w:cs="Times New Roman"/>
          <w:sz w:val="28"/>
          <w:szCs w:val="28"/>
        </w:rPr>
        <w:lastRenderedPageBreak/>
        <w:t xml:space="preserve">долгосрочного процветания и стабильности всей экономической системы. </w:t>
      </w:r>
      <w:r>
        <w:rPr>
          <w:rFonts w:ascii="Times New Roman" w:eastAsia="Calibri" w:hAnsi="Times New Roman" w:cs="Times New Roman"/>
          <w:sz w:val="28"/>
          <w:szCs w:val="28"/>
        </w:rPr>
        <w:t>А</w:t>
      </w:r>
      <w:r w:rsidRPr="001D11DC">
        <w:rPr>
          <w:rFonts w:ascii="Times New Roman" w:eastAsia="Calibri" w:hAnsi="Times New Roman" w:cs="Times New Roman"/>
          <w:sz w:val="28"/>
          <w:szCs w:val="28"/>
        </w:rPr>
        <w:t xml:space="preserve"> компании</w:t>
      </w:r>
      <w:r>
        <w:rPr>
          <w:rFonts w:ascii="Times New Roman" w:eastAsia="Calibri" w:hAnsi="Times New Roman" w:cs="Times New Roman"/>
          <w:sz w:val="28"/>
          <w:szCs w:val="28"/>
        </w:rPr>
        <w:t>, занимающиеся НИОКР, являются</w:t>
      </w:r>
      <w:r w:rsidRPr="001D11DC">
        <w:rPr>
          <w:rFonts w:ascii="Times New Roman" w:eastAsia="Calibri" w:hAnsi="Times New Roman" w:cs="Times New Roman"/>
          <w:sz w:val="28"/>
          <w:szCs w:val="28"/>
        </w:rPr>
        <w:t xml:space="preserve"> уникальным хранилищем новых знаний и интеллектуального богатства, предоставляя опыт и знания, которые могут быть использованы в широком спектре отраслей.</w:t>
      </w:r>
    </w:p>
    <w:p w:rsidR="001B6DE2" w:rsidRPr="00F331F6"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F331F6">
        <w:rPr>
          <w:rFonts w:ascii="Times New Roman" w:eastAsia="Calibri" w:hAnsi="Times New Roman" w:cs="Times New Roman"/>
          <w:sz w:val="28"/>
          <w:szCs w:val="28"/>
        </w:rPr>
        <w:t>Содействие инновационной активности имеет ключевое значение в стратегических программах России, подчеркивая необходимость продвижения технологического развития. Экономически активные компании, делая ставку на инновации, встречаются с рядом препятствий, несмотря на оче</w:t>
      </w:r>
      <w:r>
        <w:rPr>
          <w:rFonts w:ascii="Times New Roman" w:eastAsia="Calibri" w:hAnsi="Times New Roman" w:cs="Times New Roman"/>
          <w:sz w:val="28"/>
          <w:szCs w:val="28"/>
        </w:rPr>
        <w:t>видные преимущества этого пути.</w:t>
      </w:r>
    </w:p>
    <w:p w:rsidR="001B6DE2" w:rsidRPr="00F331F6"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F331F6">
        <w:rPr>
          <w:rFonts w:ascii="Times New Roman" w:eastAsia="Calibri" w:hAnsi="Times New Roman" w:cs="Times New Roman"/>
          <w:sz w:val="28"/>
          <w:szCs w:val="28"/>
        </w:rPr>
        <w:t>Финансирование представляет собой одно из основных препятствий для инноваторов, особенно на этапах реализации масштабных проектов с высокой степенью неопределенности. Банковский и инвестиционный секторы часто проявляют сдержанность в предоставлении средств проектам с высокими рисками, а рынок венчурных инвестиций в России, несмотря на его рост, все еще демонстр</w:t>
      </w:r>
      <w:r>
        <w:rPr>
          <w:rFonts w:ascii="Times New Roman" w:eastAsia="Calibri" w:hAnsi="Times New Roman" w:cs="Times New Roman"/>
          <w:sz w:val="28"/>
          <w:szCs w:val="28"/>
        </w:rPr>
        <w:t>ирует ограниченные возможности.</w:t>
      </w:r>
    </w:p>
    <w:p w:rsidR="001B6DE2" w:rsidRPr="00F331F6"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F331F6">
        <w:rPr>
          <w:rFonts w:ascii="Times New Roman" w:eastAsia="Calibri" w:hAnsi="Times New Roman" w:cs="Times New Roman"/>
          <w:sz w:val="28"/>
          <w:szCs w:val="28"/>
        </w:rPr>
        <w:t>Такие риски, как технологические неудачи, низкий спрос и проблемы с в</w:t>
      </w:r>
      <w:r>
        <w:rPr>
          <w:rFonts w:ascii="Times New Roman" w:eastAsia="Calibri" w:hAnsi="Times New Roman" w:cs="Times New Roman"/>
          <w:sz w:val="28"/>
          <w:szCs w:val="28"/>
        </w:rPr>
        <w:t>ы</w:t>
      </w:r>
      <w:r w:rsidRPr="00F331F6">
        <w:rPr>
          <w:rFonts w:ascii="Times New Roman" w:eastAsia="Calibri" w:hAnsi="Times New Roman" w:cs="Times New Roman"/>
          <w:sz w:val="28"/>
          <w:szCs w:val="28"/>
        </w:rPr>
        <w:t xml:space="preserve">ходом продукта на рынок, увеличивают вероятность </w:t>
      </w:r>
      <w:r>
        <w:rPr>
          <w:rFonts w:ascii="Times New Roman" w:eastAsia="Calibri" w:hAnsi="Times New Roman" w:cs="Times New Roman"/>
          <w:sz w:val="28"/>
          <w:szCs w:val="28"/>
        </w:rPr>
        <w:t xml:space="preserve">потенциальных </w:t>
      </w:r>
      <w:r w:rsidRPr="00F331F6">
        <w:rPr>
          <w:rFonts w:ascii="Times New Roman" w:eastAsia="Calibri" w:hAnsi="Times New Roman" w:cs="Times New Roman"/>
          <w:sz w:val="28"/>
          <w:szCs w:val="28"/>
        </w:rPr>
        <w:t xml:space="preserve">потерь. </w:t>
      </w:r>
      <w:r>
        <w:rPr>
          <w:rFonts w:ascii="Times New Roman" w:eastAsia="Calibri" w:hAnsi="Times New Roman" w:cs="Times New Roman"/>
          <w:sz w:val="28"/>
          <w:szCs w:val="28"/>
        </w:rPr>
        <w:t>Также</w:t>
      </w:r>
      <w:r w:rsidRPr="00F331F6">
        <w:rPr>
          <w:rFonts w:ascii="Times New Roman" w:eastAsia="Calibri" w:hAnsi="Times New Roman" w:cs="Times New Roman"/>
          <w:sz w:val="28"/>
          <w:szCs w:val="28"/>
        </w:rPr>
        <w:t xml:space="preserve"> стремительные изменения в технологической парадигме могут </w:t>
      </w:r>
      <w:r>
        <w:rPr>
          <w:rFonts w:ascii="Times New Roman" w:eastAsia="Calibri" w:hAnsi="Times New Roman" w:cs="Times New Roman"/>
          <w:sz w:val="28"/>
          <w:szCs w:val="28"/>
        </w:rPr>
        <w:t>привести к неактуальности разработанных продуктов</w:t>
      </w:r>
      <w:r w:rsidRPr="00F331F6">
        <w:rPr>
          <w:rFonts w:ascii="Times New Roman" w:eastAsia="Calibri" w:hAnsi="Times New Roman" w:cs="Times New Roman"/>
          <w:sz w:val="28"/>
          <w:szCs w:val="28"/>
        </w:rPr>
        <w:t xml:space="preserve"> до их полноценного внедрения, что прив</w:t>
      </w:r>
      <w:r>
        <w:rPr>
          <w:rFonts w:ascii="Times New Roman" w:eastAsia="Calibri" w:hAnsi="Times New Roman" w:cs="Times New Roman"/>
          <w:sz w:val="28"/>
          <w:szCs w:val="28"/>
        </w:rPr>
        <w:t>е</w:t>
      </w:r>
      <w:r w:rsidRPr="00F331F6">
        <w:rPr>
          <w:rFonts w:ascii="Times New Roman" w:eastAsia="Calibri" w:hAnsi="Times New Roman" w:cs="Times New Roman"/>
          <w:sz w:val="28"/>
          <w:szCs w:val="28"/>
        </w:rPr>
        <w:t>д</w:t>
      </w:r>
      <w:r>
        <w:rPr>
          <w:rFonts w:ascii="Times New Roman" w:eastAsia="Calibri" w:hAnsi="Times New Roman" w:cs="Times New Roman"/>
          <w:sz w:val="28"/>
          <w:szCs w:val="28"/>
        </w:rPr>
        <w:t>ё</w:t>
      </w:r>
      <w:r w:rsidRPr="00F331F6">
        <w:rPr>
          <w:rFonts w:ascii="Times New Roman" w:eastAsia="Calibri" w:hAnsi="Times New Roman" w:cs="Times New Roman"/>
          <w:sz w:val="28"/>
          <w:szCs w:val="28"/>
        </w:rPr>
        <w:t>т к упущенным финансов</w:t>
      </w:r>
      <w:r>
        <w:rPr>
          <w:rFonts w:ascii="Times New Roman" w:eastAsia="Calibri" w:hAnsi="Times New Roman" w:cs="Times New Roman"/>
          <w:sz w:val="28"/>
          <w:szCs w:val="28"/>
        </w:rPr>
        <w:t>ым и конкурентным возможностям.</w:t>
      </w:r>
    </w:p>
    <w:p w:rsidR="001B6DE2" w:rsidRPr="00F331F6"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F331F6">
        <w:rPr>
          <w:rFonts w:ascii="Times New Roman" w:eastAsia="Calibri" w:hAnsi="Times New Roman" w:cs="Times New Roman"/>
          <w:sz w:val="28"/>
          <w:szCs w:val="28"/>
        </w:rPr>
        <w:t>Освоение новых рынков требует значительных усилий от инновационных компаний. Коммерциализация идеи становится все более тяжелой задачей из-за необходимости преодоления регулятивных барьеров, сложностей с получением сертификации, в то время как малому и среднему бизнесу эти пре</w:t>
      </w:r>
      <w:r>
        <w:rPr>
          <w:rFonts w:ascii="Times New Roman" w:eastAsia="Calibri" w:hAnsi="Times New Roman" w:cs="Times New Roman"/>
          <w:sz w:val="28"/>
          <w:szCs w:val="28"/>
        </w:rPr>
        <w:t>грады кажутся особо высокими.</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F331F6">
        <w:rPr>
          <w:rFonts w:ascii="Times New Roman" w:eastAsia="Calibri" w:hAnsi="Times New Roman" w:cs="Times New Roman"/>
          <w:sz w:val="28"/>
          <w:szCs w:val="28"/>
        </w:rPr>
        <w:t>Дополнительн</w:t>
      </w:r>
      <w:r>
        <w:rPr>
          <w:rFonts w:ascii="Times New Roman" w:eastAsia="Calibri" w:hAnsi="Times New Roman" w:cs="Times New Roman"/>
          <w:sz w:val="28"/>
          <w:szCs w:val="28"/>
        </w:rPr>
        <w:t>ым</w:t>
      </w:r>
      <w:r w:rsidRPr="00F331F6">
        <w:rPr>
          <w:rFonts w:ascii="Times New Roman" w:eastAsia="Calibri" w:hAnsi="Times New Roman" w:cs="Times New Roman"/>
          <w:sz w:val="28"/>
          <w:szCs w:val="28"/>
        </w:rPr>
        <w:t xml:space="preserve"> препятствие</w:t>
      </w:r>
      <w:r>
        <w:rPr>
          <w:rFonts w:ascii="Times New Roman" w:eastAsia="Calibri" w:hAnsi="Times New Roman" w:cs="Times New Roman"/>
          <w:sz w:val="28"/>
          <w:szCs w:val="28"/>
        </w:rPr>
        <w:t>м</w:t>
      </w:r>
      <w:r w:rsidRPr="00F331F6">
        <w:rPr>
          <w:rFonts w:ascii="Times New Roman" w:eastAsia="Calibri" w:hAnsi="Times New Roman" w:cs="Times New Roman"/>
          <w:sz w:val="28"/>
          <w:szCs w:val="28"/>
        </w:rPr>
        <w:t xml:space="preserve"> для инновационного сектора </w:t>
      </w:r>
      <w:r>
        <w:rPr>
          <w:rFonts w:ascii="Times New Roman" w:eastAsia="Calibri" w:hAnsi="Times New Roman" w:cs="Times New Roman"/>
          <w:sz w:val="28"/>
          <w:szCs w:val="28"/>
        </w:rPr>
        <w:t>служит</w:t>
      </w:r>
      <w:r w:rsidRPr="00F331F6">
        <w:rPr>
          <w:rFonts w:ascii="Times New Roman" w:eastAsia="Calibri" w:hAnsi="Times New Roman" w:cs="Times New Roman"/>
          <w:sz w:val="28"/>
          <w:szCs w:val="28"/>
        </w:rPr>
        <w:t xml:space="preserve"> нехватка квалифицированных кадров. Так сложилось, что рынок труда испытывает дефицит специалистов, готовых непосредственно участвовать в разработке и внедрении инноваций. Уровень ожиданий компаний и </w:t>
      </w:r>
      <w:r w:rsidRPr="00F331F6">
        <w:rPr>
          <w:rFonts w:ascii="Times New Roman" w:eastAsia="Calibri" w:hAnsi="Times New Roman" w:cs="Times New Roman"/>
          <w:sz w:val="28"/>
          <w:szCs w:val="28"/>
        </w:rPr>
        <w:lastRenderedPageBreak/>
        <w:t>практические навыки выпускников образовательных учреждений не всегда совпадают, что ставит под угроз</w:t>
      </w:r>
      <w:r>
        <w:rPr>
          <w:rFonts w:ascii="Times New Roman" w:eastAsia="Calibri" w:hAnsi="Times New Roman" w:cs="Times New Roman"/>
          <w:sz w:val="28"/>
          <w:szCs w:val="28"/>
        </w:rPr>
        <w:t>у скорость и качество инноваций</w:t>
      </w:r>
      <w:r w:rsidRPr="00F331F6">
        <w:rPr>
          <w:rFonts w:ascii="Times New Roman" w:eastAsia="Calibri" w:hAnsi="Times New Roman" w:cs="Times New Roman"/>
          <w:sz w:val="28"/>
          <w:szCs w:val="28"/>
        </w:rPr>
        <w:t xml:space="preserve">. </w:t>
      </w:r>
      <w:r>
        <w:rPr>
          <w:rFonts w:ascii="Times New Roman" w:eastAsia="Calibri" w:hAnsi="Times New Roman" w:cs="Times New Roman"/>
          <w:sz w:val="28"/>
          <w:szCs w:val="28"/>
        </w:rPr>
        <w:t>Для того чтобы проанализировать уровень НИОКР на предприятиях</w:t>
      </w:r>
      <w:r w:rsidRPr="00F331F6">
        <w:rPr>
          <w:rFonts w:ascii="Times New Roman" w:eastAsia="Calibri" w:hAnsi="Times New Roman" w:cs="Times New Roman"/>
          <w:sz w:val="28"/>
          <w:szCs w:val="28"/>
        </w:rPr>
        <w:t xml:space="preserve">, и </w:t>
      </w:r>
      <w:r>
        <w:rPr>
          <w:rFonts w:ascii="Times New Roman" w:eastAsia="Calibri" w:hAnsi="Times New Roman" w:cs="Times New Roman"/>
          <w:sz w:val="28"/>
          <w:szCs w:val="28"/>
        </w:rPr>
        <w:t>выявить</w:t>
      </w:r>
      <w:r w:rsidRPr="00F331F6">
        <w:rPr>
          <w:rFonts w:ascii="Times New Roman" w:eastAsia="Calibri" w:hAnsi="Times New Roman" w:cs="Times New Roman"/>
          <w:sz w:val="28"/>
          <w:szCs w:val="28"/>
        </w:rPr>
        <w:t>, какие преимущества выделяют их среди конкурентов, эксперты опираются на важные измерения деятельности. Они выделяют несколько ведущих категорий для этого анализа:</w:t>
      </w:r>
      <w:r>
        <w:rPr>
          <w:rFonts w:ascii="Times New Roman" w:eastAsia="Calibri" w:hAnsi="Times New Roman" w:cs="Times New Roman"/>
          <w:sz w:val="28"/>
          <w:szCs w:val="28"/>
        </w:rPr>
        <w:t xml:space="preserve"> экономические затраты, временные показатели, параметры обновляемости, и способность к адаптациям. </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Экономические издержки включают в себя:</w:t>
      </w:r>
    </w:p>
    <w:p w:rsidR="001B6DE2" w:rsidRPr="00C36631" w:rsidRDefault="001B6DE2" w:rsidP="001B6DE2">
      <w:pPr>
        <w:pStyle w:val="af"/>
        <w:numPr>
          <w:ilvl w:val="0"/>
          <w:numId w:val="21"/>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расходы на научно-исследовательские и опытно-конструкторские работы в процентном отношении от суммарной выручки, что отражает научную составляющую и инновационную ценность продукта;</w:t>
      </w:r>
    </w:p>
    <w:p w:rsidR="001B6DE2" w:rsidRPr="00C36631" w:rsidRDefault="001B6DE2" w:rsidP="001B6DE2">
      <w:pPr>
        <w:pStyle w:val="af"/>
        <w:numPr>
          <w:ilvl w:val="0"/>
          <w:numId w:val="21"/>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инвестиции в приобретение интеллектуальной собственности, в частности лицензий, патентов и технологий;</w:t>
      </w:r>
    </w:p>
    <w:p w:rsidR="001B6DE2" w:rsidRPr="00C36631" w:rsidRDefault="001B6DE2" w:rsidP="001B6DE2">
      <w:pPr>
        <w:pStyle w:val="af"/>
        <w:numPr>
          <w:ilvl w:val="0"/>
          <w:numId w:val="21"/>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затраты на покупку компаний, которые внедряют передовые разработки;</w:t>
      </w:r>
    </w:p>
    <w:p w:rsidR="001B6DE2" w:rsidRPr="00C36631" w:rsidRDefault="001B6DE2" w:rsidP="001B6DE2">
      <w:pPr>
        <w:pStyle w:val="af"/>
        <w:numPr>
          <w:ilvl w:val="0"/>
          <w:numId w:val="21"/>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наличие специализированных фондов для поддержки новых инициатив и исследований.</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Что касается оценки динамики инновационного процесса по времени, выделяют следующие показатели:</w:t>
      </w:r>
    </w:p>
    <w:p w:rsidR="001B6DE2" w:rsidRPr="00C36631" w:rsidRDefault="001B6DE2" w:rsidP="001B6DE2">
      <w:pPr>
        <w:pStyle w:val="af"/>
        <w:numPr>
          <w:ilvl w:val="0"/>
          <w:numId w:val="23"/>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темп инновационных изменений, который иногда обозначается как ТАТ (от англ. "turn — around time"), то есть временной промежуток между осознанием необходимости нового продукта и моментом, когда он начинает массово поставляться на рынок или конечному потребителю;</w:t>
      </w:r>
    </w:p>
    <w:p w:rsidR="001B6DE2" w:rsidRPr="00C36631" w:rsidRDefault="001B6DE2" w:rsidP="001B6DE2">
      <w:pPr>
        <w:pStyle w:val="af"/>
        <w:numPr>
          <w:ilvl w:val="0"/>
          <w:numId w:val="23"/>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срок, необходимый для разработки новинки или технологического решения;</w:t>
      </w:r>
    </w:p>
    <w:p w:rsidR="001B6DE2" w:rsidRPr="00C36631" w:rsidRDefault="001B6DE2" w:rsidP="001B6DE2">
      <w:pPr>
        <w:pStyle w:val="af"/>
        <w:numPr>
          <w:ilvl w:val="0"/>
          <w:numId w:val="23"/>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продолжительность подготовки производственных мощностей для выпуска новинки;</w:t>
      </w:r>
    </w:p>
    <w:p w:rsidR="001B6DE2" w:rsidRPr="00C36631" w:rsidRDefault="001B6DE2" w:rsidP="001B6DE2">
      <w:pPr>
        <w:pStyle w:val="af"/>
        <w:numPr>
          <w:ilvl w:val="0"/>
          <w:numId w:val="23"/>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время, требуемое для полного производственного цикла вновь созданного товара.</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lastRenderedPageBreak/>
        <w:t>Эти показатели и критерии служат надежным ориентиром для оценки инновационного потенциала и стратегического планирования развития компаний, их способности не только приспосабливаться к текущим рыночным условиям, но и активно влиять на них, находя новые пути развития и технологического прогресса.</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Важные аспекты инновационного роста по критерию обновляемости:</w:t>
      </w:r>
    </w:p>
    <w:p w:rsidR="001B6DE2" w:rsidRPr="00C36631" w:rsidRDefault="001B6DE2" w:rsidP="001B6DE2">
      <w:pPr>
        <w:pStyle w:val="af"/>
        <w:numPr>
          <w:ilvl w:val="0"/>
          <w:numId w:val="23"/>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введение в действие и разработка инноваций как в продуктах, так и в процессах;</w:t>
      </w:r>
    </w:p>
    <w:p w:rsidR="001B6DE2" w:rsidRPr="00C36631" w:rsidRDefault="001B6DE2" w:rsidP="001B6DE2">
      <w:pPr>
        <w:pStyle w:val="af"/>
        <w:numPr>
          <w:ilvl w:val="0"/>
          <w:numId w:val="23"/>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доля продукции, ставшей новинкой за последние 2, 3, 5 и 10 лет, отражающая тенденции обновления ассортимента;</w:t>
      </w:r>
    </w:p>
    <w:p w:rsidR="001B6DE2" w:rsidRPr="00C36631" w:rsidRDefault="001B6DE2" w:rsidP="001B6DE2">
      <w:pPr>
        <w:pStyle w:val="af"/>
        <w:numPr>
          <w:ilvl w:val="0"/>
          <w:numId w:val="23"/>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приобретение или обмен новыми технологиями и техническими наработками;</w:t>
      </w:r>
    </w:p>
    <w:p w:rsidR="001B6DE2" w:rsidRPr="00C36631" w:rsidRDefault="001B6DE2" w:rsidP="001B6DE2">
      <w:pPr>
        <w:pStyle w:val="af"/>
        <w:numPr>
          <w:ilvl w:val="0"/>
          <w:numId w:val="23"/>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значимость инновационных товаров на внешних рынках, измеряемая экспортными объемами;</w:t>
      </w:r>
    </w:p>
    <w:p w:rsidR="001B6DE2" w:rsidRPr="00C36631" w:rsidRDefault="001B6DE2" w:rsidP="001B6DE2">
      <w:pPr>
        <w:pStyle w:val="af"/>
        <w:numPr>
          <w:ilvl w:val="0"/>
          <w:numId w:val="23"/>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расширение спектра предлагаемых услуг благодаря нововведениям.</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Отражение структурной адаптации к инновациям:</w:t>
      </w:r>
    </w:p>
    <w:p w:rsidR="001B6DE2" w:rsidRPr="00C36631" w:rsidRDefault="001B6DE2" w:rsidP="001B6DE2">
      <w:pPr>
        <w:pStyle w:val="af"/>
        <w:numPr>
          <w:ilvl w:val="0"/>
          <w:numId w:val="26"/>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обзор и подсчет подразделений, ведущих научные исследования и разработки, в том числе экспериментальные и испытательные лаборатории;</w:t>
      </w:r>
    </w:p>
    <w:p w:rsidR="001B6DE2" w:rsidRPr="00C36631" w:rsidRDefault="001B6DE2" w:rsidP="001B6DE2">
      <w:pPr>
        <w:pStyle w:val="af"/>
        <w:numPr>
          <w:ilvl w:val="0"/>
          <w:numId w:val="26"/>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анализ численности и деятельности совместных предприятий, сконцентрированных на применении новых технологий и производстве инновационной продукции;</w:t>
      </w:r>
    </w:p>
    <w:p w:rsidR="001B6DE2" w:rsidRPr="00C36631" w:rsidRDefault="001B6DE2" w:rsidP="001B6DE2">
      <w:pPr>
        <w:pStyle w:val="af"/>
        <w:numPr>
          <w:ilvl w:val="0"/>
          <w:numId w:val="26"/>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распределение и количество специалистов, чья работа связана с исследованиями и разработками;</w:t>
      </w:r>
    </w:p>
    <w:p w:rsidR="001B6DE2" w:rsidRPr="00C36631" w:rsidRDefault="001B6DE2" w:rsidP="001B6DE2">
      <w:pPr>
        <w:pStyle w:val="af"/>
        <w:numPr>
          <w:ilvl w:val="0"/>
          <w:numId w:val="26"/>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количество и состав команд, формируемых для реализации новаторских проектов и идей.</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Федеральная служба государственной статистики России регулярно проводит анализ активности организаций в инновационной сфере, отражая ежегодную динамику изменений.</w:t>
      </w:r>
      <w:r w:rsidRPr="00C36631">
        <w:t xml:space="preserve"> </w:t>
      </w:r>
      <w:r w:rsidRPr="00C36631">
        <w:rPr>
          <w:rFonts w:ascii="Times New Roman" w:eastAsia="Calibri" w:hAnsi="Times New Roman" w:cs="Times New Roman"/>
          <w:sz w:val="28"/>
          <w:szCs w:val="28"/>
        </w:rPr>
        <w:t xml:space="preserve">Приведённая оценка помогает понять, каким образом достижения науки внедряются в повседневную практику. На рисунке </w:t>
      </w:r>
      <w:r w:rsidRPr="00C36631">
        <w:rPr>
          <w:rFonts w:ascii="Times New Roman" w:eastAsia="Calibri" w:hAnsi="Times New Roman" w:cs="Times New Roman"/>
          <w:sz w:val="28"/>
          <w:szCs w:val="28"/>
        </w:rPr>
        <w:lastRenderedPageBreak/>
        <w:t>1 можно увидеть ключевые показатели, которые отражают уровень инновационной деятельности компаний.</w:t>
      </w:r>
    </w:p>
    <w:p w:rsidR="001B6DE2" w:rsidRPr="00C36631" w:rsidRDefault="001B6DE2" w:rsidP="001B6DE2">
      <w:pPr>
        <w:autoSpaceDE w:val="0"/>
        <w:autoSpaceDN w:val="0"/>
        <w:adjustRightInd w:val="0"/>
        <w:spacing w:after="0" w:line="360" w:lineRule="auto"/>
        <w:jc w:val="center"/>
        <w:rPr>
          <w:rFonts w:ascii="Times New Roman" w:eastAsia="Calibri" w:hAnsi="Times New Roman" w:cs="Times New Roman"/>
          <w:sz w:val="28"/>
          <w:szCs w:val="28"/>
        </w:rPr>
      </w:pPr>
      <w:r w:rsidRPr="00C36631">
        <w:rPr>
          <w:rFonts w:ascii="Times New Roman" w:eastAsia="Calibri" w:hAnsi="Times New Roman" w:cs="Times New Roman"/>
          <w:noProof/>
          <w:sz w:val="28"/>
          <w:szCs w:val="28"/>
          <w:lang w:eastAsia="ru-RU"/>
        </w:rPr>
        <w:drawing>
          <wp:inline distT="0" distB="0" distL="0" distR="0" wp14:anchorId="135F2B2A" wp14:editId="4507A3F4">
            <wp:extent cx="5182177" cy="5886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7279" cy="5937682"/>
                    </a:xfrm>
                    <a:prstGeom prst="rect">
                      <a:avLst/>
                    </a:prstGeom>
                    <a:noFill/>
                    <a:ln>
                      <a:noFill/>
                    </a:ln>
                  </pic:spPr>
                </pic:pic>
              </a:graphicData>
            </a:graphic>
          </wp:inline>
        </w:drawing>
      </w:r>
    </w:p>
    <w:p w:rsidR="001B6DE2" w:rsidRPr="00C36631" w:rsidRDefault="001B6DE2" w:rsidP="001B6DE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C36631">
        <w:rPr>
          <w:rFonts w:ascii="Times New Roman" w:eastAsia="Calibri" w:hAnsi="Times New Roman" w:cs="Times New Roman"/>
          <w:sz w:val="28"/>
          <w:szCs w:val="28"/>
        </w:rPr>
        <w:t>Рисунок 1 – Основные показатели инновационной деятельности</w:t>
      </w:r>
      <w:r>
        <w:rPr>
          <w:rFonts w:ascii="Times New Roman" w:eastAsia="Calibri" w:hAnsi="Times New Roman" w:cs="Times New Roman"/>
          <w:sz w:val="28"/>
          <w:szCs w:val="28"/>
        </w:rPr>
        <w:t xml:space="preserve"> </w:t>
      </w:r>
      <w:r w:rsidRPr="0083569B">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p>
    <w:p w:rsidR="001B6DE2" w:rsidRPr="00C36631" w:rsidRDefault="001B6DE2" w:rsidP="001B6DE2">
      <w:pPr>
        <w:autoSpaceDE w:val="0"/>
        <w:autoSpaceDN w:val="0"/>
        <w:adjustRightInd w:val="0"/>
        <w:spacing w:after="0" w:line="360" w:lineRule="auto"/>
        <w:ind w:firstLine="709"/>
        <w:jc w:val="center"/>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Согласно методологии Росстата, показатель «Уровень инновационной активности организаций» рассчитывается за отчетный год как отношение числа инновационно-активных организаций к общему числу обследованных организаций [59].</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Расчет осуществляется по следующей формуле (1):</w:t>
      </w:r>
    </w:p>
    <w:p w:rsidR="001B6DE2" w:rsidRPr="00C36631" w:rsidRDefault="001B6DE2" w:rsidP="001B6DE2">
      <w:pPr>
        <w:autoSpaceDE w:val="0"/>
        <w:autoSpaceDN w:val="0"/>
        <w:adjustRightInd w:val="0"/>
        <w:spacing w:after="0" w:line="360" w:lineRule="auto"/>
        <w:ind w:left="2832" w:firstLine="708"/>
        <w:jc w:val="both"/>
        <w:rPr>
          <w:rFonts w:ascii="Times New Roman" w:eastAsia="Calibri" w:hAnsi="Times New Roman" w:cs="Times New Roman"/>
          <w:i/>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инн</m:t>
            </m:r>
          </m:sub>
        </m:sSub>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N</m:t>
                </m:r>
              </m:e>
              <m:sub>
                <m:r>
                  <w:rPr>
                    <w:rFonts w:ascii="Cambria Math" w:eastAsia="Calibri" w:hAnsi="Cambria Math" w:cs="Times New Roman"/>
                    <w:sz w:val="28"/>
                    <w:szCs w:val="28"/>
                  </w:rPr>
                  <m:t>инн</m:t>
                </m:r>
              </m:sub>
            </m:sSub>
          </m:num>
          <m:den>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N</m:t>
                </m:r>
              </m:e>
              <m:sub>
                <m:r>
                  <w:rPr>
                    <w:rFonts w:ascii="Cambria Math" w:eastAsia="Calibri" w:hAnsi="Cambria Math" w:cs="Times New Roman"/>
                    <w:sz w:val="28"/>
                    <w:szCs w:val="28"/>
                  </w:rPr>
                  <m:t>0</m:t>
                </m:r>
              </m:sub>
            </m:sSub>
          </m:den>
        </m:f>
        <m:r>
          <w:rPr>
            <w:rFonts w:ascii="Cambria Math" w:eastAsia="Times New Roman" w:hAnsi="Cambria Math" w:cs="Times New Roman"/>
            <w:sz w:val="28"/>
            <w:szCs w:val="28"/>
          </w:rPr>
          <m:t>*100%</m:t>
        </m:r>
      </m:oMath>
      <w:r w:rsidRPr="00C36631">
        <w:rPr>
          <w:rFonts w:ascii="Times New Roman" w:eastAsia="Calibri" w:hAnsi="Times New Roman" w:cs="Times New Roman"/>
          <w:i/>
          <w:sz w:val="28"/>
          <w:szCs w:val="28"/>
        </w:rPr>
        <w:tab/>
      </w:r>
      <w:r w:rsidRPr="00C36631">
        <w:rPr>
          <w:rFonts w:ascii="Times New Roman" w:eastAsia="Calibri" w:hAnsi="Times New Roman" w:cs="Times New Roman"/>
          <w:i/>
          <w:sz w:val="28"/>
          <w:szCs w:val="28"/>
        </w:rPr>
        <w:tab/>
      </w:r>
      <w:r w:rsidRPr="00C36631">
        <w:rPr>
          <w:rFonts w:ascii="Times New Roman" w:eastAsia="Calibri" w:hAnsi="Times New Roman" w:cs="Times New Roman"/>
          <w:i/>
          <w:sz w:val="28"/>
          <w:szCs w:val="28"/>
        </w:rPr>
        <w:tab/>
      </w:r>
      <w:r w:rsidRPr="00C36631">
        <w:rPr>
          <w:rFonts w:ascii="Times New Roman" w:eastAsia="Calibri" w:hAnsi="Times New Roman" w:cs="Times New Roman"/>
          <w:i/>
          <w:sz w:val="28"/>
          <w:szCs w:val="28"/>
        </w:rPr>
        <w:tab/>
        <w:t xml:space="preserve">       </w:t>
      </w:r>
      <w:r w:rsidRPr="00C36631">
        <w:rPr>
          <w:rFonts w:ascii="Times New Roman" w:eastAsia="Calibri" w:hAnsi="Times New Roman" w:cs="Times New Roman"/>
          <w:sz w:val="28"/>
          <w:szCs w:val="28"/>
        </w:rPr>
        <w:t>(1)</w:t>
      </w:r>
    </w:p>
    <w:p w:rsidR="001B6DE2" w:rsidRPr="00C36631" w:rsidRDefault="001B6DE2" w:rsidP="001B6DE2">
      <w:pPr>
        <w:autoSpaceDE w:val="0"/>
        <w:autoSpaceDN w:val="0"/>
        <w:adjustRightInd w:val="0"/>
        <w:spacing w:after="0" w:line="360" w:lineRule="auto"/>
        <w:ind w:left="708"/>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lastRenderedPageBreak/>
        <w:t>где</w:t>
      </w:r>
    </w:p>
    <w:p w:rsidR="001B6DE2" w:rsidRPr="00C36631" w:rsidRDefault="001B6DE2" w:rsidP="001B6DE2">
      <w:pPr>
        <w:autoSpaceDE w:val="0"/>
        <w:autoSpaceDN w:val="0"/>
        <w:adjustRightInd w:val="0"/>
        <w:spacing w:after="0" w:line="360" w:lineRule="auto"/>
        <w:jc w:val="both"/>
        <w:rPr>
          <w:rFonts w:ascii="Times New Roman" w:eastAsia="Calibri" w:hAnsi="Times New Roman" w:cs="Times New Roman"/>
          <w:sz w:val="28"/>
          <w:szCs w:val="28"/>
        </w:rPr>
      </w:pPr>
      <w:r w:rsidRPr="00C36631">
        <w:rPr>
          <w:rFonts w:ascii="Times New Roman" w:eastAsia="Calibri" w:hAnsi="Times New Roman" w:cs="Times New Roman"/>
          <w:sz w:val="28"/>
          <w:szCs w:val="28"/>
          <w:lang w:val="en-US"/>
        </w:rPr>
        <w:t>I</w:t>
      </w:r>
      <w:r w:rsidRPr="00C36631">
        <w:rPr>
          <w:rFonts w:ascii="Times New Roman" w:eastAsia="Calibri" w:hAnsi="Times New Roman" w:cs="Times New Roman"/>
          <w:sz w:val="28"/>
          <w:szCs w:val="28"/>
          <w:vertAlign w:val="subscript"/>
        </w:rPr>
        <w:t>инн</w:t>
      </w:r>
      <w:r w:rsidRPr="00C36631">
        <w:rPr>
          <w:rFonts w:ascii="Times New Roman" w:eastAsia="Calibri" w:hAnsi="Times New Roman" w:cs="Times New Roman"/>
          <w:sz w:val="28"/>
          <w:szCs w:val="28"/>
        </w:rPr>
        <w:t xml:space="preserve"> – уровень инновационной активности, %;</w:t>
      </w:r>
    </w:p>
    <w:p w:rsidR="001B6DE2" w:rsidRPr="00C36631" w:rsidRDefault="001B6DE2" w:rsidP="001B6DE2">
      <w:pPr>
        <w:autoSpaceDE w:val="0"/>
        <w:autoSpaceDN w:val="0"/>
        <w:adjustRightInd w:val="0"/>
        <w:spacing w:after="0" w:line="360" w:lineRule="auto"/>
        <w:jc w:val="both"/>
        <w:rPr>
          <w:rFonts w:ascii="Times New Roman" w:eastAsia="Calibri" w:hAnsi="Times New Roman" w:cs="Times New Roman"/>
          <w:sz w:val="28"/>
          <w:szCs w:val="28"/>
        </w:rPr>
      </w:pPr>
      <w:r w:rsidRPr="00C36631">
        <w:rPr>
          <w:rFonts w:ascii="Times New Roman" w:eastAsia="Calibri" w:hAnsi="Times New Roman" w:cs="Times New Roman"/>
          <w:sz w:val="28"/>
          <w:szCs w:val="28"/>
          <w:lang w:val="en-US"/>
        </w:rPr>
        <w:t>N</w:t>
      </w:r>
      <w:r w:rsidRPr="00C36631">
        <w:rPr>
          <w:rFonts w:ascii="Times New Roman" w:eastAsia="Calibri" w:hAnsi="Times New Roman" w:cs="Times New Roman"/>
          <w:sz w:val="28"/>
          <w:szCs w:val="28"/>
          <w:vertAlign w:val="subscript"/>
        </w:rPr>
        <w:t>инн</w:t>
      </w:r>
      <w:r w:rsidRPr="00C36631">
        <w:rPr>
          <w:rFonts w:ascii="Times New Roman" w:eastAsia="Calibri" w:hAnsi="Times New Roman" w:cs="Times New Roman"/>
          <w:sz w:val="28"/>
          <w:szCs w:val="28"/>
        </w:rPr>
        <w:t xml:space="preserve"> – число инновационно-активных организаций;</w:t>
      </w:r>
    </w:p>
    <w:p w:rsidR="001B6DE2" w:rsidRPr="00C36631" w:rsidRDefault="001B6DE2" w:rsidP="001B6DE2">
      <w:pPr>
        <w:autoSpaceDE w:val="0"/>
        <w:autoSpaceDN w:val="0"/>
        <w:adjustRightInd w:val="0"/>
        <w:spacing w:after="0" w:line="360" w:lineRule="auto"/>
        <w:jc w:val="both"/>
        <w:rPr>
          <w:rFonts w:ascii="Times New Roman" w:eastAsia="Calibri" w:hAnsi="Times New Roman" w:cs="Times New Roman"/>
          <w:sz w:val="28"/>
          <w:szCs w:val="28"/>
        </w:rPr>
      </w:pPr>
      <w:r w:rsidRPr="00C36631">
        <w:rPr>
          <w:rFonts w:ascii="Times New Roman" w:eastAsia="Calibri" w:hAnsi="Times New Roman" w:cs="Times New Roman"/>
          <w:sz w:val="28"/>
          <w:szCs w:val="28"/>
          <w:lang w:val="en-US"/>
        </w:rPr>
        <w:t>N</w:t>
      </w:r>
      <w:r w:rsidRPr="00C36631">
        <w:rPr>
          <w:rFonts w:ascii="Times New Roman" w:eastAsia="Calibri" w:hAnsi="Times New Roman" w:cs="Times New Roman"/>
          <w:sz w:val="28"/>
          <w:szCs w:val="28"/>
          <w:vertAlign w:val="subscript"/>
        </w:rPr>
        <w:t xml:space="preserve">0 </w:t>
      </w:r>
      <w:r w:rsidRPr="00C36631">
        <w:rPr>
          <w:rFonts w:ascii="Times New Roman" w:eastAsia="Calibri" w:hAnsi="Times New Roman" w:cs="Times New Roman"/>
          <w:sz w:val="28"/>
          <w:szCs w:val="28"/>
        </w:rPr>
        <w:t>– число обследуемых организаций.</w:t>
      </w:r>
    </w:p>
    <w:p w:rsidR="001B6DE2" w:rsidRPr="00C36631"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Показатель «Удельный вес организаций, осуществляющих технологические инновации, в общем числе обследованных организаций» рассчитывается за отчетный год как отношение числа организаций, осуществляющих технологические инновации, к общему числу обследованных организаций [59].</w:t>
      </w:r>
    </w:p>
    <w:p w:rsidR="001B6DE2" w:rsidRPr="00C36631"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Расчет осуществляется по формуле (2):</w:t>
      </w:r>
    </w:p>
    <w:p w:rsidR="001B6DE2" w:rsidRPr="00C36631" w:rsidRDefault="001B6DE2" w:rsidP="001B6DE2">
      <w:pPr>
        <w:autoSpaceDE w:val="0"/>
        <w:autoSpaceDN w:val="0"/>
        <w:adjustRightInd w:val="0"/>
        <w:spacing w:after="0" w:line="360" w:lineRule="auto"/>
        <w:ind w:left="2832" w:firstLine="708"/>
        <w:jc w:val="both"/>
        <w:rPr>
          <w:rFonts w:ascii="Times New Roman" w:eastAsia="Calibri" w:hAnsi="Times New Roman" w:cs="Times New Roman"/>
          <w:i/>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ти</m:t>
            </m:r>
          </m:sub>
        </m:sSub>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N</m:t>
                </m:r>
              </m:e>
              <m:sub>
                <m:r>
                  <w:rPr>
                    <w:rFonts w:ascii="Cambria Math" w:eastAsia="Calibri" w:hAnsi="Cambria Math" w:cs="Times New Roman"/>
                    <w:sz w:val="28"/>
                    <w:szCs w:val="28"/>
                  </w:rPr>
                  <m:t>ти</m:t>
                </m:r>
              </m:sub>
            </m:sSub>
          </m:num>
          <m:den>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N</m:t>
                </m:r>
              </m:e>
              <m:sub>
                <m:r>
                  <w:rPr>
                    <w:rFonts w:ascii="Cambria Math" w:eastAsia="Calibri" w:hAnsi="Cambria Math" w:cs="Times New Roman"/>
                    <w:sz w:val="28"/>
                    <w:szCs w:val="28"/>
                  </w:rPr>
                  <m:t>0</m:t>
                </m:r>
              </m:sub>
            </m:sSub>
          </m:den>
        </m:f>
        <m:r>
          <w:rPr>
            <w:rFonts w:ascii="Cambria Math" w:eastAsia="Times New Roman" w:hAnsi="Cambria Math" w:cs="Times New Roman"/>
            <w:sz w:val="28"/>
            <w:szCs w:val="28"/>
          </w:rPr>
          <m:t>*100%</m:t>
        </m:r>
      </m:oMath>
      <w:r w:rsidRPr="00C36631">
        <w:rPr>
          <w:rFonts w:ascii="Times New Roman" w:eastAsia="Calibri" w:hAnsi="Times New Roman" w:cs="Times New Roman"/>
          <w:i/>
          <w:sz w:val="28"/>
          <w:szCs w:val="28"/>
        </w:rPr>
        <w:tab/>
      </w:r>
      <w:r w:rsidRPr="00C36631">
        <w:rPr>
          <w:rFonts w:ascii="Times New Roman" w:eastAsia="Calibri" w:hAnsi="Times New Roman" w:cs="Times New Roman"/>
          <w:i/>
          <w:sz w:val="28"/>
          <w:szCs w:val="28"/>
        </w:rPr>
        <w:tab/>
      </w:r>
      <w:r w:rsidRPr="00C36631">
        <w:rPr>
          <w:rFonts w:ascii="Times New Roman" w:eastAsia="Calibri" w:hAnsi="Times New Roman" w:cs="Times New Roman"/>
          <w:i/>
          <w:sz w:val="28"/>
          <w:szCs w:val="28"/>
        </w:rPr>
        <w:tab/>
      </w:r>
      <w:r w:rsidRPr="00C36631">
        <w:rPr>
          <w:rFonts w:ascii="Times New Roman" w:eastAsia="Calibri" w:hAnsi="Times New Roman" w:cs="Times New Roman"/>
          <w:i/>
          <w:sz w:val="28"/>
          <w:szCs w:val="28"/>
        </w:rPr>
        <w:tab/>
      </w:r>
      <w:r w:rsidRPr="00C36631">
        <w:rPr>
          <w:rFonts w:ascii="Times New Roman" w:eastAsia="Calibri" w:hAnsi="Times New Roman" w:cs="Times New Roman"/>
          <w:i/>
          <w:sz w:val="28"/>
          <w:szCs w:val="28"/>
        </w:rPr>
        <w:tab/>
      </w:r>
      <w:r w:rsidRPr="00C36631">
        <w:rPr>
          <w:rFonts w:ascii="Times New Roman" w:eastAsia="Calibri" w:hAnsi="Times New Roman" w:cs="Times New Roman"/>
          <w:sz w:val="28"/>
          <w:szCs w:val="28"/>
        </w:rPr>
        <w:t xml:space="preserve">       (2)</w:t>
      </w:r>
    </w:p>
    <w:p w:rsidR="001B6DE2" w:rsidRPr="00C36631" w:rsidRDefault="001B6DE2" w:rsidP="001B6DE2">
      <w:pPr>
        <w:autoSpaceDE w:val="0"/>
        <w:autoSpaceDN w:val="0"/>
        <w:adjustRightInd w:val="0"/>
        <w:spacing w:after="0" w:line="360" w:lineRule="auto"/>
        <w:ind w:firstLine="567"/>
        <w:jc w:val="both"/>
        <w:rPr>
          <w:rFonts w:ascii="Times New Roman" w:eastAsia="Calibri" w:hAnsi="Times New Roman" w:cs="Times New Roman"/>
          <w:i/>
          <w:sz w:val="28"/>
          <w:szCs w:val="28"/>
        </w:rPr>
      </w:pPr>
    </w:p>
    <w:p w:rsidR="001B6DE2" w:rsidRPr="00C36631" w:rsidRDefault="001B6DE2" w:rsidP="001B6DE2">
      <w:pPr>
        <w:autoSpaceDE w:val="0"/>
        <w:autoSpaceDN w:val="0"/>
        <w:adjustRightInd w:val="0"/>
        <w:spacing w:after="0" w:line="360" w:lineRule="auto"/>
        <w:ind w:firstLine="708"/>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где</w:t>
      </w:r>
    </w:p>
    <w:p w:rsidR="001B6DE2" w:rsidRPr="00C36631" w:rsidRDefault="001B6DE2" w:rsidP="001B6DE2">
      <w:pPr>
        <w:autoSpaceDE w:val="0"/>
        <w:autoSpaceDN w:val="0"/>
        <w:adjustRightInd w:val="0"/>
        <w:spacing w:after="0" w:line="360" w:lineRule="auto"/>
        <w:jc w:val="both"/>
        <w:rPr>
          <w:rFonts w:ascii="Times New Roman" w:eastAsia="Calibri" w:hAnsi="Times New Roman" w:cs="Times New Roman"/>
          <w:sz w:val="28"/>
          <w:szCs w:val="28"/>
        </w:rPr>
      </w:pPr>
      <w:r w:rsidRPr="00C36631">
        <w:rPr>
          <w:rFonts w:ascii="Times New Roman" w:eastAsia="Calibri" w:hAnsi="Times New Roman" w:cs="Times New Roman"/>
          <w:sz w:val="28"/>
          <w:szCs w:val="28"/>
          <w:lang w:val="en-US"/>
        </w:rPr>
        <w:t>I</w:t>
      </w:r>
      <w:r w:rsidRPr="00C36631">
        <w:rPr>
          <w:rFonts w:ascii="Times New Roman" w:eastAsia="Calibri" w:hAnsi="Times New Roman" w:cs="Times New Roman"/>
          <w:sz w:val="28"/>
          <w:szCs w:val="28"/>
          <w:vertAlign w:val="subscript"/>
        </w:rPr>
        <w:t>ти</w:t>
      </w:r>
      <w:r w:rsidRPr="00C36631">
        <w:rPr>
          <w:rFonts w:ascii="Times New Roman" w:eastAsia="Calibri" w:hAnsi="Times New Roman" w:cs="Times New Roman"/>
          <w:sz w:val="28"/>
          <w:szCs w:val="28"/>
        </w:rPr>
        <w:t xml:space="preserve"> – удельный вес организаций, осуществляющих технологические инновации, в общем числе обследованных организаций, %;</w:t>
      </w:r>
    </w:p>
    <w:p w:rsidR="001B6DE2" w:rsidRPr="00C36631" w:rsidRDefault="001B6DE2" w:rsidP="001B6DE2">
      <w:pPr>
        <w:autoSpaceDE w:val="0"/>
        <w:autoSpaceDN w:val="0"/>
        <w:adjustRightInd w:val="0"/>
        <w:spacing w:after="0" w:line="360" w:lineRule="auto"/>
        <w:jc w:val="both"/>
        <w:rPr>
          <w:rFonts w:ascii="Times New Roman" w:eastAsia="Calibri" w:hAnsi="Times New Roman" w:cs="Times New Roman"/>
          <w:sz w:val="28"/>
          <w:szCs w:val="28"/>
        </w:rPr>
      </w:pPr>
      <w:r w:rsidRPr="00C36631">
        <w:rPr>
          <w:rFonts w:ascii="Times New Roman" w:eastAsia="Calibri" w:hAnsi="Times New Roman" w:cs="Times New Roman"/>
          <w:sz w:val="28"/>
          <w:szCs w:val="28"/>
          <w:lang w:val="en-US"/>
        </w:rPr>
        <w:t>N</w:t>
      </w:r>
      <w:r w:rsidRPr="00C36631">
        <w:rPr>
          <w:rFonts w:ascii="Times New Roman" w:eastAsia="Calibri" w:hAnsi="Times New Roman" w:cs="Times New Roman"/>
          <w:sz w:val="28"/>
          <w:szCs w:val="28"/>
          <w:vertAlign w:val="subscript"/>
        </w:rPr>
        <w:t>ти</w:t>
      </w:r>
      <w:r w:rsidRPr="00C36631">
        <w:rPr>
          <w:rFonts w:ascii="Times New Roman" w:eastAsia="Calibri" w:hAnsi="Times New Roman" w:cs="Times New Roman"/>
          <w:sz w:val="28"/>
          <w:szCs w:val="28"/>
        </w:rPr>
        <w:t xml:space="preserve"> – число организаций, осуществляющих технологические инновации;</w:t>
      </w:r>
    </w:p>
    <w:p w:rsidR="001B6DE2" w:rsidRPr="00C36631" w:rsidRDefault="001B6DE2" w:rsidP="001B6DE2">
      <w:pPr>
        <w:autoSpaceDE w:val="0"/>
        <w:autoSpaceDN w:val="0"/>
        <w:adjustRightInd w:val="0"/>
        <w:spacing w:after="0" w:line="360" w:lineRule="auto"/>
        <w:jc w:val="both"/>
        <w:rPr>
          <w:rFonts w:ascii="Times New Roman" w:eastAsia="Calibri" w:hAnsi="Times New Roman" w:cs="Times New Roman"/>
          <w:sz w:val="28"/>
          <w:szCs w:val="28"/>
        </w:rPr>
      </w:pPr>
      <w:r w:rsidRPr="00C36631">
        <w:rPr>
          <w:rFonts w:ascii="Times New Roman" w:eastAsia="Calibri" w:hAnsi="Times New Roman" w:cs="Times New Roman"/>
          <w:sz w:val="28"/>
          <w:szCs w:val="28"/>
          <w:lang w:val="en-US"/>
        </w:rPr>
        <w:t>N</w:t>
      </w:r>
      <w:r w:rsidRPr="00C36631">
        <w:rPr>
          <w:rFonts w:ascii="Times New Roman" w:eastAsia="Calibri" w:hAnsi="Times New Roman" w:cs="Times New Roman"/>
          <w:sz w:val="28"/>
          <w:szCs w:val="28"/>
          <w:vertAlign w:val="subscript"/>
        </w:rPr>
        <w:t xml:space="preserve">0 </w:t>
      </w:r>
      <w:r w:rsidRPr="00C36631">
        <w:rPr>
          <w:rFonts w:ascii="Times New Roman" w:eastAsia="Calibri" w:hAnsi="Times New Roman" w:cs="Times New Roman"/>
          <w:sz w:val="28"/>
          <w:szCs w:val="28"/>
        </w:rPr>
        <w:t>– число обследуемых организаций.</w:t>
      </w: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Данный показатель</w:t>
      </w:r>
      <w:r w:rsidRPr="001001DB">
        <w:rPr>
          <w:rFonts w:ascii="Times New Roman" w:eastAsia="Calibri" w:hAnsi="Times New Roman" w:cs="Times New Roman"/>
          <w:sz w:val="28"/>
          <w:szCs w:val="28"/>
        </w:rPr>
        <w:t xml:space="preserve"> имеет несколько важных применений. Он измеряет долю предприятий, занимающихся </w:t>
      </w:r>
      <w:r>
        <w:rPr>
          <w:rFonts w:ascii="Times New Roman" w:eastAsia="Calibri" w:hAnsi="Times New Roman" w:cs="Times New Roman"/>
          <w:sz w:val="28"/>
          <w:szCs w:val="28"/>
        </w:rPr>
        <w:t>НИОКР</w:t>
      </w:r>
      <w:r w:rsidRPr="001001DB">
        <w:rPr>
          <w:rFonts w:ascii="Times New Roman" w:eastAsia="Calibri" w:hAnsi="Times New Roman" w:cs="Times New Roman"/>
          <w:sz w:val="28"/>
          <w:szCs w:val="28"/>
        </w:rPr>
        <w:t>, обеспечивая четкое представление об уровне инновационной активности в экономи</w:t>
      </w:r>
      <w:r>
        <w:rPr>
          <w:rFonts w:ascii="Times New Roman" w:eastAsia="Calibri" w:hAnsi="Times New Roman" w:cs="Times New Roman"/>
          <w:sz w:val="28"/>
          <w:szCs w:val="28"/>
        </w:rPr>
        <w:t>ческом</w:t>
      </w:r>
      <w:r w:rsidRPr="001001DB">
        <w:rPr>
          <w:rFonts w:ascii="Times New Roman" w:eastAsia="Calibri" w:hAnsi="Times New Roman" w:cs="Times New Roman"/>
          <w:sz w:val="28"/>
          <w:szCs w:val="28"/>
        </w:rPr>
        <w:t xml:space="preserve"> секторе. </w:t>
      </w:r>
      <w:r>
        <w:rPr>
          <w:rFonts w:ascii="Times New Roman" w:eastAsia="Calibri" w:hAnsi="Times New Roman" w:cs="Times New Roman"/>
          <w:sz w:val="28"/>
          <w:szCs w:val="28"/>
        </w:rPr>
        <w:t>Ч</w:t>
      </w:r>
      <w:r w:rsidRPr="001001DB">
        <w:rPr>
          <w:rFonts w:ascii="Times New Roman" w:eastAsia="Calibri" w:hAnsi="Times New Roman" w:cs="Times New Roman"/>
          <w:sz w:val="28"/>
          <w:szCs w:val="28"/>
        </w:rPr>
        <w:t>ем выше доля инновационных организаций, тем более конкурентоспособной является экономика</w:t>
      </w:r>
      <w:r>
        <w:rPr>
          <w:rFonts w:ascii="Times New Roman" w:eastAsia="Calibri" w:hAnsi="Times New Roman" w:cs="Times New Roman"/>
          <w:sz w:val="28"/>
          <w:szCs w:val="28"/>
        </w:rPr>
        <w:t xml:space="preserve"> страны</w:t>
      </w:r>
      <w:r w:rsidRPr="001001DB">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Полагаясь на</w:t>
      </w:r>
      <w:r w:rsidRPr="001001DB">
        <w:rPr>
          <w:rFonts w:ascii="Times New Roman" w:eastAsia="Calibri" w:hAnsi="Times New Roman" w:cs="Times New Roman"/>
          <w:sz w:val="28"/>
          <w:szCs w:val="28"/>
        </w:rPr>
        <w:t xml:space="preserve"> этот показатель </w:t>
      </w:r>
      <w:r>
        <w:rPr>
          <w:rFonts w:ascii="Times New Roman" w:eastAsia="Calibri" w:hAnsi="Times New Roman" w:cs="Times New Roman"/>
          <w:sz w:val="28"/>
          <w:szCs w:val="28"/>
        </w:rPr>
        <w:t xml:space="preserve">можно выработать стратегию по реализации инновационной политики и </w:t>
      </w:r>
      <w:r w:rsidRPr="001001DB">
        <w:rPr>
          <w:rFonts w:ascii="Times New Roman" w:eastAsia="Calibri" w:hAnsi="Times New Roman" w:cs="Times New Roman"/>
          <w:sz w:val="28"/>
          <w:szCs w:val="28"/>
        </w:rPr>
        <w:t>обеспечении ее эффективност</w:t>
      </w:r>
      <w:r>
        <w:rPr>
          <w:rFonts w:ascii="Times New Roman" w:eastAsia="Calibri" w:hAnsi="Times New Roman" w:cs="Times New Roman"/>
          <w:sz w:val="28"/>
          <w:szCs w:val="28"/>
        </w:rPr>
        <w:t>ью</w:t>
      </w:r>
      <w:r w:rsidRPr="001001DB">
        <w:rPr>
          <w:rFonts w:ascii="Times New Roman" w:eastAsia="Calibri" w:hAnsi="Times New Roman" w:cs="Times New Roman"/>
          <w:sz w:val="28"/>
          <w:szCs w:val="28"/>
        </w:rPr>
        <w:t xml:space="preserve">. </w:t>
      </w:r>
    </w:p>
    <w:p w:rsidR="001B6DE2" w:rsidRPr="005C0338"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1001DB">
        <w:rPr>
          <w:rFonts w:ascii="Times New Roman" w:eastAsia="Calibri" w:hAnsi="Times New Roman" w:cs="Times New Roman"/>
          <w:sz w:val="28"/>
          <w:szCs w:val="28"/>
        </w:rPr>
        <w:t>Основываясь на четырёх фундаментальных аспектах, можно подчеркнуть важность инноваций для получения конкурентного преимущества:</w:t>
      </w:r>
    </w:p>
    <w:p w:rsidR="001B6DE2" w:rsidRPr="005C0338"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5C0338">
        <w:rPr>
          <w:rFonts w:ascii="Times New Roman" w:eastAsia="Calibri" w:hAnsi="Times New Roman" w:cs="Times New Roman"/>
          <w:sz w:val="28"/>
          <w:szCs w:val="28"/>
        </w:rPr>
        <w:t xml:space="preserve">Во-первых, компании, использующие последние технологические достижения, совершенствуют свои продукты и услуги, что, естественно, приводит к увеличению их стоимости. Это связано с использованием </w:t>
      </w:r>
      <w:r w:rsidRPr="005C0338">
        <w:rPr>
          <w:rFonts w:ascii="Times New Roman" w:eastAsia="Calibri" w:hAnsi="Times New Roman" w:cs="Times New Roman"/>
          <w:sz w:val="28"/>
          <w:szCs w:val="28"/>
        </w:rPr>
        <w:lastRenderedPageBreak/>
        <w:t xml:space="preserve">современного оборудования, новейших материалов и повышением эффективности производственного процесса. Адаптируясь к требованиям рынка, компания может укрепить свои </w:t>
      </w:r>
      <w:r>
        <w:rPr>
          <w:rFonts w:ascii="Times New Roman" w:eastAsia="Calibri" w:hAnsi="Times New Roman" w:cs="Times New Roman"/>
          <w:sz w:val="28"/>
          <w:szCs w:val="28"/>
        </w:rPr>
        <w:t>позиции и увеличить долю рынка.</w:t>
      </w:r>
    </w:p>
    <w:p w:rsidR="001B6DE2" w:rsidRPr="005C0338"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Во-вторых,</w:t>
      </w:r>
      <w:r w:rsidRPr="005C0338">
        <w:rPr>
          <w:rFonts w:ascii="Times New Roman" w:eastAsia="Calibri" w:hAnsi="Times New Roman" w:cs="Times New Roman"/>
          <w:sz w:val="28"/>
          <w:szCs w:val="28"/>
        </w:rPr>
        <w:t xml:space="preserve"> за счет оптимизации и автоматизации производства можно повысить производительность, что, в свою очередь, напрямую связано с успешным внедрением инноваций. Внедрение передовых систем автоматизации и алгоритмов искусственного интеллекта позволяет сократить затраты, снижая цену конечного продукта при сохранении высокого качества, что делает продукцию компании более п</w:t>
      </w:r>
      <w:r>
        <w:rPr>
          <w:rFonts w:ascii="Times New Roman" w:eastAsia="Calibri" w:hAnsi="Times New Roman" w:cs="Times New Roman"/>
          <w:sz w:val="28"/>
          <w:szCs w:val="28"/>
        </w:rPr>
        <w:t>ривлекательной для покупателей.</w:t>
      </w:r>
    </w:p>
    <w:p w:rsidR="001B6DE2" w:rsidRPr="005C0338"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5C0338">
        <w:rPr>
          <w:rFonts w:ascii="Times New Roman" w:eastAsia="Calibri" w:hAnsi="Times New Roman" w:cs="Times New Roman"/>
          <w:sz w:val="28"/>
          <w:szCs w:val="28"/>
        </w:rPr>
        <w:t>В-третьих, инновации расширяют масштабы бизнеса за счет освоения неиспользованных отраслей и географических рынков. Революционные технологии и гибкость адаптации к меняющимся потребностям позволяют компаниям не только находить новые возможности расширения, но и снижать зависимость от к</w:t>
      </w:r>
      <w:r>
        <w:rPr>
          <w:rFonts w:ascii="Times New Roman" w:eastAsia="Calibri" w:hAnsi="Times New Roman" w:cs="Times New Roman"/>
          <w:sz w:val="28"/>
          <w:szCs w:val="28"/>
        </w:rPr>
        <w:t>онкретных продуктов или рынков.</w:t>
      </w: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В-четвертых, у</w:t>
      </w:r>
      <w:r w:rsidRPr="005C0338">
        <w:rPr>
          <w:rFonts w:ascii="Times New Roman" w:eastAsia="Calibri" w:hAnsi="Times New Roman" w:cs="Times New Roman"/>
          <w:sz w:val="28"/>
          <w:szCs w:val="28"/>
        </w:rPr>
        <w:t>никальные и инновационные продукты и услуги являются основой нашей повышенной конкурентоспособности. Благодаря запатентованным решениям, которые обеспечивают ценность и функциональность для ваших клиентов, вы можете выделиться среди конкуренто</w:t>
      </w:r>
      <w:r>
        <w:rPr>
          <w:rFonts w:ascii="Times New Roman" w:eastAsia="Calibri" w:hAnsi="Times New Roman" w:cs="Times New Roman"/>
          <w:sz w:val="28"/>
          <w:szCs w:val="28"/>
        </w:rPr>
        <w:t>в и завоевать доверие на рынке.</w:t>
      </w:r>
    </w:p>
    <w:p w:rsidR="001B6DE2" w:rsidRPr="005C0338"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5C0338">
        <w:rPr>
          <w:rFonts w:ascii="Times New Roman" w:eastAsia="Calibri" w:hAnsi="Times New Roman" w:cs="Times New Roman"/>
          <w:sz w:val="28"/>
          <w:szCs w:val="28"/>
        </w:rPr>
        <w:t>Подводя итог, инновации являются ключом к успеху на современном динамичном рынке, помогая компаниям и странам занять лидирующую роль на глобальной экономической арене.</w:t>
      </w:r>
    </w:p>
    <w:p w:rsidR="001B6DE2" w:rsidRPr="005C0338"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highlight w:val="red"/>
        </w:rPr>
      </w:pPr>
      <w:r w:rsidRPr="005C0338">
        <w:rPr>
          <w:rFonts w:ascii="Times New Roman" w:eastAsia="Calibri" w:hAnsi="Times New Roman" w:cs="Times New Roman"/>
          <w:sz w:val="28"/>
          <w:szCs w:val="28"/>
        </w:rPr>
        <w:t>Подводя итог, мы пришли к выводу, что инновационная деятельность стимулирует экономический рост на национальном и региональном уровнях. Это создает новые рабочие места, привлекает инвестиции и увеличивает экспорт. Экономика стран, ориентированных на инновации, обычно ценит высокий уровень ресурсов и конкурентоспособность. Эти факторы считаются критически важными для текущей экономической ситуации.</w:t>
      </w:r>
    </w:p>
    <w:p w:rsidR="001B6DE2" w:rsidRPr="00172F28"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highlight w:val="yellow"/>
        </w:rPr>
      </w:pPr>
    </w:p>
    <w:p w:rsidR="001B6DE2" w:rsidRPr="00E147B9" w:rsidRDefault="001B6DE2" w:rsidP="001B6DE2">
      <w:pPr>
        <w:autoSpaceDE w:val="0"/>
        <w:autoSpaceDN w:val="0"/>
        <w:adjustRightInd w:val="0"/>
        <w:spacing w:after="0" w:line="360" w:lineRule="auto"/>
        <w:ind w:firstLine="709"/>
        <w:jc w:val="both"/>
        <w:rPr>
          <w:rFonts w:ascii="Times New Roman" w:eastAsia="Calibri" w:hAnsi="Times New Roman" w:cs="Times New Roman"/>
          <w:b/>
          <w:sz w:val="28"/>
          <w:szCs w:val="28"/>
        </w:rPr>
      </w:pPr>
      <w:r w:rsidRPr="00E147B9">
        <w:rPr>
          <w:rFonts w:ascii="Times New Roman" w:eastAsia="Calibri" w:hAnsi="Times New Roman" w:cs="Times New Roman"/>
          <w:b/>
          <w:sz w:val="28"/>
          <w:szCs w:val="28"/>
        </w:rPr>
        <w:lastRenderedPageBreak/>
        <w:t>1.2 Классификация финансовых инструментов стимулирования инновационного бизнеса</w:t>
      </w:r>
    </w:p>
    <w:p w:rsidR="001B6DE2" w:rsidRPr="00E147B9" w:rsidRDefault="001B6DE2" w:rsidP="001B6DE2">
      <w:pPr>
        <w:autoSpaceDE w:val="0"/>
        <w:autoSpaceDN w:val="0"/>
        <w:adjustRightInd w:val="0"/>
        <w:spacing w:after="0" w:line="360" w:lineRule="auto"/>
        <w:ind w:firstLine="709"/>
        <w:jc w:val="both"/>
        <w:rPr>
          <w:rFonts w:ascii="Times New Roman" w:eastAsia="Calibri" w:hAnsi="Times New Roman" w:cs="Times New Roman"/>
          <w:b/>
          <w:sz w:val="28"/>
          <w:szCs w:val="28"/>
        </w:rPr>
      </w:pPr>
    </w:p>
    <w:p w:rsidR="001B6DE2" w:rsidRPr="00E147B9"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E147B9">
        <w:rPr>
          <w:rFonts w:ascii="Times New Roman" w:eastAsia="Calibri" w:hAnsi="Times New Roman" w:cs="Times New Roman"/>
          <w:sz w:val="28"/>
          <w:szCs w:val="28"/>
        </w:rPr>
        <w:t>Финансовые инструменты стимулирования инновационного бизнеса представляют собой разнообразные механизмы и средства, используемые для поддержки инновационных проектов и предприятий. Классификация этих инструментов позволяет систематизировать и организовать их разнообразие в соответствии с определенными критериями. В данной части работы будут рассмотрены основные подходы к классификации инструментов стимулирования инновационного бизнеса.</w:t>
      </w: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E147B9">
        <w:rPr>
          <w:rFonts w:ascii="Times New Roman" w:eastAsia="Calibri" w:hAnsi="Times New Roman" w:cs="Times New Roman"/>
          <w:sz w:val="28"/>
          <w:szCs w:val="28"/>
        </w:rPr>
        <w:t xml:space="preserve">Одним из основных принципов классификации является источник получения средств. Государство способствует развитию инноваций за счет бюджетных средств и предоставляет поддержку через гос. организации, фонды или программы. Частные инструменты стимулирования, в свою очередь, предоставляются частными инвесторами, венчурными фондами или фин. учреждениями. Смешанные инструменты сочетают в себе элементы государственного и частного финансирования.  Рисунок 2 демонстрирует элементы, которые формируют фундамент государственного поощрения инновационных процессов в Российской Федерации. Эти компоненты играют ключевую роль в обеспечении благоприятной среды для разработки и реализации новаторских решений и продуктов, стимулируя тем самым технологическое развитие и экономический рост страны. </w:t>
      </w:r>
    </w:p>
    <w:p w:rsidR="001B6DE2" w:rsidRPr="00E147B9"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9D31FC">
        <w:rPr>
          <w:rFonts w:ascii="Times New Roman" w:eastAsia="Calibri" w:hAnsi="Times New Roman" w:cs="Times New Roman"/>
          <w:sz w:val="28"/>
          <w:szCs w:val="28"/>
        </w:rPr>
        <w:t>Проекты, пропитанные инновациями, непременно проходят через многоуровневый процесс развития. Начиная с фазы, где они являются лишь смелыми научными гипотезами, требующими проверки и изысканий, и заканчивая этапом, когда эти идеи становятся реальностью, передовой технологией, готовой к завоеванию рынка и массовому производству. Для каждого из этих этапов существуют свои финансовые рычаги – разнообразный инструментарий, созданный с учетом специфических потребностей на каждом конкретном этапе жизненного пути проекта.</w:t>
      </w:r>
    </w:p>
    <w:p w:rsidR="001B6DE2" w:rsidRPr="00C36631" w:rsidRDefault="001B6DE2" w:rsidP="001B6DE2">
      <w:pPr>
        <w:autoSpaceDE w:val="0"/>
        <w:autoSpaceDN w:val="0"/>
        <w:adjustRightInd w:val="0"/>
        <w:spacing w:after="0" w:line="360" w:lineRule="auto"/>
        <w:jc w:val="center"/>
        <w:rPr>
          <w:rFonts w:ascii="Times New Roman" w:eastAsia="Calibri" w:hAnsi="Times New Roman" w:cs="Times New Roman"/>
          <w:sz w:val="28"/>
          <w:szCs w:val="28"/>
        </w:rPr>
      </w:pPr>
      <w:r w:rsidRPr="00C36631">
        <w:rPr>
          <w:rFonts w:ascii="Times New Roman" w:eastAsia="Calibri" w:hAnsi="Times New Roman" w:cs="Times New Roman"/>
          <w:noProof/>
          <w:sz w:val="24"/>
          <w:lang w:eastAsia="ru-RU"/>
        </w:rPr>
        <w:lastRenderedPageBreak/>
        <w:drawing>
          <wp:inline distT="0" distB="0" distL="0" distR="0" wp14:anchorId="51299C3C" wp14:editId="445B8669">
            <wp:extent cx="4594216" cy="4188280"/>
            <wp:effectExtent l="0" t="0" r="0" b="3175"/>
            <wp:docPr id="6" name="Рисунок 6" descr="Составляющие государственной политики стимулирования инновационной деят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ставляющие государственной политики стимулирования инновационной деятельнос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2248" cy="4314116"/>
                    </a:xfrm>
                    <a:prstGeom prst="rect">
                      <a:avLst/>
                    </a:prstGeom>
                    <a:noFill/>
                    <a:ln>
                      <a:noFill/>
                    </a:ln>
                  </pic:spPr>
                </pic:pic>
              </a:graphicData>
            </a:graphic>
          </wp:inline>
        </w:drawing>
      </w:r>
    </w:p>
    <w:p w:rsidR="001B6DE2" w:rsidRPr="00C36631" w:rsidRDefault="001B6DE2" w:rsidP="001B6DE2">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C36631">
        <w:rPr>
          <w:rFonts w:ascii="Times New Roman" w:eastAsia="Calibri" w:hAnsi="Times New Roman" w:cs="Times New Roman"/>
          <w:sz w:val="28"/>
          <w:szCs w:val="28"/>
        </w:rPr>
        <w:t>Рисунок 2 – Элементы государственной стратегии по поддержке инновационной деятельности в России [17]</w:t>
      </w:r>
    </w:p>
    <w:p w:rsidR="001B6DE2" w:rsidRPr="00C36631" w:rsidRDefault="001B6DE2" w:rsidP="001B6DE2">
      <w:pPr>
        <w:autoSpaceDE w:val="0"/>
        <w:autoSpaceDN w:val="0"/>
        <w:adjustRightInd w:val="0"/>
        <w:spacing w:after="0" w:line="360" w:lineRule="auto"/>
        <w:ind w:firstLine="567"/>
        <w:jc w:val="center"/>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Также финансовые инструменты можно классифицировать по способу предоставления финансирования. Некоторые инструменты предоставляют финансовые ресурсы в виде непосредственного финансирования или инвестиций, такие как гранты, венчурное финансирование или кредиты. Другие инструменты предоставляют косвенную поддержку, например, через налоговые льготы или субсидии на определенные виды деятельности или расходы. Классификация по способу предоставления финансирования позволяет выделить различные формы поддержки и определить их целевую направленность.</w:t>
      </w: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Еще одним критерием классификации является форма финансовых инструментов. Финансовая поддержка может осуществляться в форме прямых инвестиций, гарантий, субсидий, налоговых льгот или смешанных форм. Прямые инвестиции представляют собой вложения денежных средств в инновационные проекты или предприятия с целью получения прибыли и доли </w:t>
      </w:r>
      <w:r w:rsidRPr="00C36631">
        <w:rPr>
          <w:rFonts w:ascii="Times New Roman" w:eastAsia="Calibri" w:hAnsi="Times New Roman" w:cs="Times New Roman"/>
          <w:sz w:val="28"/>
          <w:szCs w:val="28"/>
        </w:rPr>
        <w:lastRenderedPageBreak/>
        <w:t>в их капитале. Гарантии обеспечивают финансовую защиту инновационных проектов или предприятий, гарантируя возмещение убытков в случае неуспеха или неплатежеспособности. Субсидии представляют собой безвозмездные выплаты или перечисления денежных средств на покрытие определенных расходов или стимулирование конкретных видов деятельности. Налоговые льготы предоставляются за счет снижения налоговых ставок или освобождения от некоторых налогов.</w:t>
      </w: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p>
    <w:p w:rsidR="001B6DE2" w:rsidRDefault="001B6DE2" w:rsidP="001B6DE2">
      <w:pPr>
        <w:autoSpaceDE w:val="0"/>
        <w:autoSpaceDN w:val="0"/>
        <w:adjustRightInd w:val="0"/>
        <w:spacing w:after="0" w:line="360" w:lineRule="auto"/>
        <w:jc w:val="center"/>
        <w:rPr>
          <w:rFonts w:ascii="Times New Roman" w:eastAsia="Calibri" w:hAnsi="Times New Roman" w:cs="Times New Roman"/>
          <w:sz w:val="28"/>
          <w:szCs w:val="28"/>
        </w:rPr>
      </w:pPr>
      <w:bookmarkStart w:id="0" w:name="_GoBack"/>
      <w:r>
        <w:rPr>
          <w:rFonts w:ascii="Times New Roman" w:eastAsia="Calibri" w:hAnsi="Times New Roman" w:cs="Times New Roman"/>
          <w:noProof/>
          <w:sz w:val="28"/>
          <w:szCs w:val="28"/>
          <w:lang w:eastAsia="ru-RU"/>
        </w:rPr>
        <w:drawing>
          <wp:inline distT="0" distB="0" distL="0" distR="0">
            <wp:extent cx="4457700" cy="5514975"/>
            <wp:effectExtent l="0" t="0" r="0" b="9525"/>
            <wp:docPr id="2" name="Рисунок 2" descr="C:\Users\Mugivara\AppData\Local\Microsoft\Windows\INetCache\Content.Word\i_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givara\AppData\Local\Microsoft\Windows\INetCache\Content.Word\i_0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5514975"/>
                    </a:xfrm>
                    <a:prstGeom prst="rect">
                      <a:avLst/>
                    </a:prstGeom>
                    <a:noFill/>
                    <a:ln>
                      <a:noFill/>
                    </a:ln>
                  </pic:spPr>
                </pic:pic>
              </a:graphicData>
            </a:graphic>
          </wp:inline>
        </w:drawing>
      </w:r>
    </w:p>
    <w:p w:rsidR="001B6DE2" w:rsidRDefault="001B6DE2" w:rsidP="001B6DE2">
      <w:pPr>
        <w:autoSpaceDE w:val="0"/>
        <w:autoSpaceDN w:val="0"/>
        <w:adjustRightInd w:val="0"/>
        <w:spacing w:after="0" w:line="240"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Рисунок 3</w:t>
      </w:r>
      <w:r w:rsidRPr="00C36631">
        <w:rPr>
          <w:rFonts w:ascii="Times New Roman" w:eastAsia="Calibri" w:hAnsi="Times New Roman" w:cs="Times New Roman"/>
          <w:sz w:val="28"/>
          <w:szCs w:val="28"/>
        </w:rPr>
        <w:t xml:space="preserve"> – </w:t>
      </w:r>
      <w:r w:rsidRPr="00BE360E">
        <w:rPr>
          <w:rFonts w:ascii="Times New Roman" w:eastAsia="Calibri" w:hAnsi="Times New Roman" w:cs="Times New Roman"/>
          <w:sz w:val="28"/>
          <w:szCs w:val="28"/>
        </w:rPr>
        <w:t xml:space="preserve">Механизм финансирования на этапе </w:t>
      </w:r>
      <w:r>
        <w:rPr>
          <w:rFonts w:ascii="Times New Roman" w:eastAsia="Calibri" w:hAnsi="Times New Roman" w:cs="Times New Roman"/>
          <w:sz w:val="28"/>
          <w:szCs w:val="28"/>
        </w:rPr>
        <w:t>монетизации</w:t>
      </w:r>
      <w:r w:rsidRPr="00BE360E">
        <w:rPr>
          <w:rFonts w:ascii="Times New Roman" w:eastAsia="Calibri" w:hAnsi="Times New Roman" w:cs="Times New Roman"/>
          <w:sz w:val="28"/>
          <w:szCs w:val="28"/>
        </w:rPr>
        <w:t xml:space="preserve"> инноваци</w:t>
      </w:r>
      <w:r>
        <w:rPr>
          <w:rFonts w:ascii="Times New Roman" w:eastAsia="Calibri" w:hAnsi="Times New Roman" w:cs="Times New Roman"/>
          <w:sz w:val="28"/>
          <w:szCs w:val="28"/>
        </w:rPr>
        <w:t>онного продукта</w:t>
      </w:r>
      <w:r w:rsidRPr="00BE360E">
        <w:rPr>
          <w:rFonts w:ascii="Times New Roman" w:eastAsia="Calibri" w:hAnsi="Times New Roman" w:cs="Times New Roman"/>
          <w:sz w:val="28"/>
          <w:szCs w:val="28"/>
        </w:rPr>
        <w:t xml:space="preserve"> </w:t>
      </w:r>
      <w:r>
        <w:rPr>
          <w:rFonts w:ascii="Times New Roman" w:eastAsia="Calibri" w:hAnsi="Times New Roman" w:cs="Times New Roman"/>
          <w:sz w:val="28"/>
          <w:szCs w:val="28"/>
        </w:rPr>
        <w:t>[17]</w:t>
      </w:r>
    </w:p>
    <w:p w:rsidR="001B6DE2" w:rsidRPr="00C36631" w:rsidRDefault="001B6DE2" w:rsidP="001B6DE2">
      <w:pPr>
        <w:autoSpaceDE w:val="0"/>
        <w:autoSpaceDN w:val="0"/>
        <w:adjustRightInd w:val="0"/>
        <w:spacing w:after="0" w:line="240" w:lineRule="auto"/>
        <w:ind w:firstLine="567"/>
        <w:jc w:val="center"/>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Помимо уже известных способов разделения финансовых инструментов, предназначенных для поддержки инновационной </w:t>
      </w:r>
      <w:r w:rsidRPr="00C36631">
        <w:rPr>
          <w:rFonts w:ascii="Times New Roman" w:eastAsia="Calibri" w:hAnsi="Times New Roman" w:cs="Times New Roman"/>
          <w:sz w:val="28"/>
          <w:szCs w:val="28"/>
        </w:rPr>
        <w:lastRenderedPageBreak/>
        <w:t>деятельности, нельзя упускать из виду и другие важные характеристики. Одна из них – отраслевая принадлежность. Каждая сфера деятельности имеет свои уникальные особенности, что обуславливает необходимость создания специальных механизмов финансовой поддержки и стимулирования инновационной деятельности. Такое разделение позволит подобрать узкоспециализированные средства, эффективные для конкретных отраслей экономики.</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Также не менее важным фактором является географическая специализация. Стимулирование инновац</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активности и предложение финансовых инструментов различаются от региона к региону. Это связано с особенностями экономической политики, научно-технического потенциала и социальных приоритетов каждой конкретной страны. Географическая классификация позволяет лучше понять разнообразие механизмов поддержки инноваций в разных частях России.</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Рассмотрим </w:t>
      </w:r>
      <w:r w:rsidRPr="00C36631">
        <w:rPr>
          <w:rFonts w:ascii="Times New Roman" w:eastAsia="Calibri" w:hAnsi="Times New Roman" w:cs="Times New Roman"/>
          <w:sz w:val="28"/>
          <w:szCs w:val="28"/>
        </w:rPr>
        <w:t>целевые группы, на которые нацелены различные инструменты финансового стимулирования. Некоторые из них разработаны специально для малых и средних предприятий с учетом их потребностей и ограничений, а другие предназначены для поддержки научных и академических исследований. Такая классификация будет полезна, поскольку позволяет учесть конкретные требования и цели различных групп предпринимателей и исследователей, работающих в сфере инноваций.</w:t>
      </w:r>
    </w:p>
    <w:p w:rsidR="001B6DE2" w:rsidRPr="00BE360E"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r w:rsidRPr="00BE360E">
        <w:rPr>
          <w:rFonts w:ascii="Times New Roman" w:eastAsia="Calibri" w:hAnsi="Times New Roman" w:cs="Times New Roman"/>
          <w:sz w:val="28"/>
          <w:szCs w:val="28"/>
        </w:rPr>
        <w:t>Подводя итог, продуманный подход к выбору и сочетанию фин. инструментов позволяет существенно ускорить прогресс в сфере НИОКР, облегчить процесс привлечения инвестиций. Разнообразие этих инструментов предоставляет уникальные возможности развития для разных видов бизнеса. Поэтому некоторые финансовые рычаги идеально подходят для стимулирования исследований и разработок, тогда как другие могут имеют решающее значение для поддержки уже существующих уникальных продуктов для их монетизации.</w:t>
      </w:r>
    </w:p>
    <w:p w:rsidR="001B6DE2" w:rsidRPr="0083569B" w:rsidRDefault="001B6DE2" w:rsidP="001B6DE2">
      <w:pPr>
        <w:autoSpaceDE w:val="0"/>
        <w:autoSpaceDN w:val="0"/>
        <w:adjustRightInd w:val="0"/>
        <w:spacing w:after="0" w:line="360" w:lineRule="auto"/>
        <w:ind w:firstLine="709"/>
        <w:jc w:val="both"/>
        <w:rPr>
          <w:rFonts w:ascii="Times New Roman" w:eastAsia="Calibri" w:hAnsi="Times New Roman" w:cs="Times New Roman"/>
          <w:b/>
          <w:bCs/>
          <w:color w:val="FF0000"/>
          <w:sz w:val="28"/>
          <w:szCs w:val="28"/>
        </w:rPr>
      </w:pPr>
      <w:r w:rsidRPr="0083569B">
        <w:rPr>
          <w:rFonts w:ascii="Times New Roman" w:eastAsia="Calibri" w:hAnsi="Times New Roman" w:cs="Times New Roman"/>
          <w:b/>
          <w:bCs/>
          <w:sz w:val="28"/>
          <w:szCs w:val="28"/>
        </w:rPr>
        <w:lastRenderedPageBreak/>
        <w:t>1.3 Финансовый механизм стимулирования инновационной активности на отраслевом и региональном уровнях</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b/>
          <w:sz w:val="28"/>
          <w:szCs w:val="28"/>
        </w:rPr>
      </w:pPr>
    </w:p>
    <w:p w:rsidR="001B6DE2" w:rsidRPr="00BE360E"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BE360E">
        <w:rPr>
          <w:rFonts w:ascii="Times New Roman" w:eastAsia="Calibri" w:hAnsi="Times New Roman" w:cs="Times New Roman"/>
          <w:sz w:val="28"/>
          <w:szCs w:val="28"/>
        </w:rPr>
        <w:t>Инновационные проекты обычно получают необходимое финансирование за счет грантов, предоставляемых правительством и частным сектором. Целью этого механизма является содействие научному развитию и открытие путей к технологическим инновациям. В рамках этой финансовой помощи ученые получают зарплату, приобретают необходимое оборудование и материалы, проводят необходимые исследования и испытания продукции. Не менее важно и то, что гранты поддерживают про</w:t>
      </w:r>
      <w:r>
        <w:rPr>
          <w:rFonts w:ascii="Times New Roman" w:eastAsia="Calibri" w:hAnsi="Times New Roman" w:cs="Times New Roman"/>
          <w:sz w:val="28"/>
          <w:szCs w:val="28"/>
        </w:rPr>
        <w:t>цесс вывода инноваций на рынок.</w:t>
      </w: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BE360E">
        <w:rPr>
          <w:rFonts w:ascii="Times New Roman" w:eastAsia="Calibri" w:hAnsi="Times New Roman" w:cs="Times New Roman"/>
          <w:sz w:val="28"/>
          <w:szCs w:val="28"/>
        </w:rPr>
        <w:t>Эта форма финансирования особенно важна на начальных стадиях проекта, когда уровень риска высок, а возможность найти другие источники финансирования крайне низка. Существенным преимуществом является то, что эти средства, как правило, не подлежат возврату, что существенно снижает нагрузку финансовых обязательств и делает гранты особенно привлекательными для начинающих предпринимателей и исследовательских коллективов.</w:t>
      </w:r>
    </w:p>
    <w:p w:rsidR="001B6DE2" w:rsidRPr="006100D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Данный механизм</w:t>
      </w:r>
      <w:r w:rsidRPr="00DD14DA">
        <w:rPr>
          <w:rFonts w:ascii="Times New Roman" w:eastAsia="Calibri" w:hAnsi="Times New Roman" w:cs="Times New Roman"/>
          <w:sz w:val="28"/>
          <w:szCs w:val="28"/>
        </w:rPr>
        <w:t xml:space="preserve"> выделя</w:t>
      </w:r>
      <w:r>
        <w:rPr>
          <w:rFonts w:ascii="Times New Roman" w:eastAsia="Calibri" w:hAnsi="Times New Roman" w:cs="Times New Roman"/>
          <w:sz w:val="28"/>
          <w:szCs w:val="28"/>
        </w:rPr>
        <w:t>е</w:t>
      </w:r>
      <w:r w:rsidRPr="00DD14DA">
        <w:rPr>
          <w:rFonts w:ascii="Times New Roman" w:eastAsia="Calibri" w:hAnsi="Times New Roman" w:cs="Times New Roman"/>
          <w:sz w:val="28"/>
          <w:szCs w:val="28"/>
        </w:rPr>
        <w:t>тся на разных уровнях: непосредственно от</w:t>
      </w:r>
      <w:r>
        <w:rPr>
          <w:rFonts w:ascii="Times New Roman" w:eastAsia="Calibri" w:hAnsi="Times New Roman" w:cs="Times New Roman"/>
          <w:sz w:val="28"/>
          <w:szCs w:val="28"/>
        </w:rPr>
        <w:t xml:space="preserve"> Президента РФ и Правительства </w:t>
      </w:r>
      <w:r w:rsidRPr="00DD14DA">
        <w:rPr>
          <w:rFonts w:ascii="Times New Roman" w:eastAsia="Calibri" w:hAnsi="Times New Roman" w:cs="Times New Roman"/>
          <w:sz w:val="28"/>
          <w:szCs w:val="28"/>
        </w:rPr>
        <w:t>до региональных властей и местных научных фондов. Кроме государственной поддержки, свою роль играют большие российские компании, которые либо сотрудничают с уже упомянутыми фондами, либо предоставляют помощь молодым учёным на индивидуальной основе.</w:t>
      </w:r>
      <w:r>
        <w:rPr>
          <w:rFonts w:ascii="Times New Roman" w:eastAsia="Calibri" w:hAnsi="Times New Roman" w:cs="Times New Roman"/>
          <w:sz w:val="28"/>
          <w:szCs w:val="28"/>
        </w:rPr>
        <w:t xml:space="preserve"> Порой гранты являются единственным </w:t>
      </w:r>
      <w:r w:rsidRPr="006100D1">
        <w:rPr>
          <w:rFonts w:ascii="Times New Roman" w:eastAsia="Calibri" w:hAnsi="Times New Roman" w:cs="Times New Roman"/>
          <w:sz w:val="28"/>
          <w:szCs w:val="28"/>
        </w:rPr>
        <w:t xml:space="preserve">способом для </w:t>
      </w:r>
      <w:r>
        <w:rPr>
          <w:rFonts w:ascii="Times New Roman" w:eastAsia="Calibri" w:hAnsi="Times New Roman" w:cs="Times New Roman"/>
          <w:sz w:val="28"/>
          <w:szCs w:val="28"/>
        </w:rPr>
        <w:t>предпринимателей</w:t>
      </w:r>
      <w:r w:rsidRPr="006100D1">
        <w:rPr>
          <w:rFonts w:ascii="Times New Roman" w:eastAsia="Calibri" w:hAnsi="Times New Roman" w:cs="Times New Roman"/>
          <w:sz w:val="28"/>
          <w:szCs w:val="28"/>
        </w:rPr>
        <w:t xml:space="preserve"> </w:t>
      </w:r>
      <w:r>
        <w:rPr>
          <w:rFonts w:ascii="Times New Roman" w:eastAsia="Calibri" w:hAnsi="Times New Roman" w:cs="Times New Roman"/>
          <w:sz w:val="28"/>
          <w:szCs w:val="28"/>
        </w:rPr>
        <w:t>с уникальной идеей начать</w:t>
      </w:r>
      <w:r w:rsidRPr="006100D1">
        <w:rPr>
          <w:rFonts w:ascii="Times New Roman" w:eastAsia="Calibri" w:hAnsi="Times New Roman" w:cs="Times New Roman"/>
          <w:sz w:val="28"/>
          <w:szCs w:val="28"/>
        </w:rPr>
        <w:t xml:space="preserve"> успешной </w:t>
      </w:r>
      <w:r>
        <w:rPr>
          <w:rFonts w:ascii="Times New Roman" w:eastAsia="Calibri" w:hAnsi="Times New Roman" w:cs="Times New Roman"/>
          <w:sz w:val="28"/>
          <w:szCs w:val="28"/>
        </w:rPr>
        <w:t>бизнес</w:t>
      </w:r>
      <w:r w:rsidRPr="006100D1">
        <w:rPr>
          <w:rFonts w:ascii="Times New Roman" w:eastAsia="Calibri" w:hAnsi="Times New Roman" w:cs="Times New Roman"/>
          <w:sz w:val="28"/>
          <w:szCs w:val="28"/>
        </w:rPr>
        <w:t>, так как именно наличие такой</w:t>
      </w:r>
      <w:r>
        <w:rPr>
          <w:rFonts w:ascii="Times New Roman" w:eastAsia="Calibri" w:hAnsi="Times New Roman" w:cs="Times New Roman"/>
          <w:sz w:val="28"/>
          <w:szCs w:val="28"/>
        </w:rPr>
        <w:t xml:space="preserve"> </w:t>
      </w:r>
      <w:r w:rsidRPr="006100D1">
        <w:rPr>
          <w:rFonts w:ascii="Times New Roman" w:eastAsia="Calibri" w:hAnsi="Times New Roman" w:cs="Times New Roman"/>
          <w:sz w:val="28"/>
          <w:szCs w:val="28"/>
        </w:rPr>
        <w:t>поддержки дае</w:t>
      </w:r>
      <w:r>
        <w:rPr>
          <w:rFonts w:ascii="Times New Roman" w:eastAsia="Calibri" w:hAnsi="Times New Roman" w:cs="Times New Roman"/>
          <w:sz w:val="28"/>
          <w:szCs w:val="28"/>
        </w:rPr>
        <w:t xml:space="preserve">т ресурсы для монетизации своих разработок. </w:t>
      </w: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Рассмотрим программы грантовой поддержки МСП на примере Фонда Содействия Инновациям [81]. Фонд содействия инновациям – некоммерческая организация, ключевая цель которой </w:t>
      </w:r>
      <w:r>
        <w:rPr>
          <w:rFonts w:ascii="Times New Roman" w:eastAsia="Calibri" w:hAnsi="Times New Roman" w:cs="Times New Roman"/>
          <w:sz w:val="28"/>
          <w:szCs w:val="28"/>
        </w:rPr>
        <w:t>заключается в</w:t>
      </w:r>
      <w:r w:rsidRPr="00C36631">
        <w:rPr>
          <w:rFonts w:ascii="Times New Roman" w:eastAsia="Calibri" w:hAnsi="Times New Roman" w:cs="Times New Roman"/>
          <w:sz w:val="28"/>
          <w:szCs w:val="28"/>
        </w:rPr>
        <w:t xml:space="preserve"> </w:t>
      </w:r>
      <w:r w:rsidRPr="00C36631">
        <w:rPr>
          <w:rFonts w:ascii="Times New Roman" w:eastAsia="Calibri" w:hAnsi="Times New Roman" w:cs="Times New Roman"/>
          <w:sz w:val="28"/>
          <w:szCs w:val="28"/>
        </w:rPr>
        <w:lastRenderedPageBreak/>
        <w:t>финансов</w:t>
      </w:r>
      <w:r>
        <w:rPr>
          <w:rFonts w:ascii="Times New Roman" w:eastAsia="Calibri" w:hAnsi="Times New Roman" w:cs="Times New Roman"/>
          <w:sz w:val="28"/>
          <w:szCs w:val="28"/>
        </w:rPr>
        <w:t>ой</w:t>
      </w:r>
      <w:r w:rsidRPr="00C36631">
        <w:rPr>
          <w:rFonts w:ascii="Times New Roman" w:eastAsia="Calibri" w:hAnsi="Times New Roman" w:cs="Times New Roman"/>
          <w:sz w:val="28"/>
          <w:szCs w:val="28"/>
        </w:rPr>
        <w:t xml:space="preserve"> поддержк</w:t>
      </w:r>
      <w:r>
        <w:rPr>
          <w:rFonts w:ascii="Times New Roman" w:eastAsia="Calibri" w:hAnsi="Times New Roman" w:cs="Times New Roman"/>
          <w:sz w:val="28"/>
          <w:szCs w:val="28"/>
        </w:rPr>
        <w:t>е</w:t>
      </w:r>
      <w:r w:rsidRPr="00C36631">
        <w:rPr>
          <w:rFonts w:ascii="Times New Roman" w:eastAsia="Calibri" w:hAnsi="Times New Roman" w:cs="Times New Roman"/>
          <w:sz w:val="28"/>
          <w:szCs w:val="28"/>
        </w:rPr>
        <w:t xml:space="preserve"> молодых ученых и малых предприятий, занимаю</w:t>
      </w:r>
      <w:r>
        <w:rPr>
          <w:rFonts w:ascii="Times New Roman" w:eastAsia="Calibri" w:hAnsi="Times New Roman" w:cs="Times New Roman"/>
          <w:sz w:val="28"/>
          <w:szCs w:val="28"/>
        </w:rPr>
        <w:t>щихся</w:t>
      </w:r>
      <w:r w:rsidRPr="00C36631">
        <w:rPr>
          <w:rFonts w:ascii="Times New Roman" w:eastAsia="Calibri" w:hAnsi="Times New Roman" w:cs="Times New Roman"/>
          <w:sz w:val="28"/>
          <w:szCs w:val="28"/>
        </w:rPr>
        <w:t xml:space="preserve"> научными разработками с высоким потенциалом коммерциализации. </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Фонд включает ряд программ:</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6B7A7A">
        <w:rPr>
          <w:rFonts w:ascii="Times New Roman" w:eastAsia="Calibri" w:hAnsi="Times New Roman" w:cs="Times New Roman"/>
          <w:sz w:val="28"/>
          <w:szCs w:val="28"/>
        </w:rPr>
        <w:t xml:space="preserve">Программа </w:t>
      </w:r>
      <w:r>
        <w:rPr>
          <w:rFonts w:ascii="Times New Roman" w:eastAsia="Calibri" w:hAnsi="Times New Roman" w:cs="Times New Roman"/>
          <w:sz w:val="28"/>
          <w:szCs w:val="28"/>
        </w:rPr>
        <w:t>«</w:t>
      </w:r>
      <w:r w:rsidRPr="006B7A7A">
        <w:rPr>
          <w:rFonts w:ascii="Times New Roman" w:eastAsia="Calibri" w:hAnsi="Times New Roman" w:cs="Times New Roman"/>
          <w:sz w:val="28"/>
          <w:szCs w:val="28"/>
        </w:rPr>
        <w:t>СТАРТ</w:t>
      </w:r>
      <w:r>
        <w:rPr>
          <w:rFonts w:ascii="Times New Roman" w:eastAsia="Calibri" w:hAnsi="Times New Roman" w:cs="Times New Roman"/>
          <w:sz w:val="28"/>
          <w:szCs w:val="28"/>
        </w:rPr>
        <w:t>»</w:t>
      </w:r>
      <w:r w:rsidRPr="006B7A7A">
        <w:rPr>
          <w:rFonts w:ascii="Times New Roman" w:eastAsia="Calibri" w:hAnsi="Times New Roman" w:cs="Times New Roman"/>
          <w:sz w:val="28"/>
          <w:szCs w:val="28"/>
        </w:rPr>
        <w:t xml:space="preserve"> направлена на создание новых малых инновационных предприятий и поддержку существующих предприятий, желающих разработать и освоить производство новой продукции, продуктов, технологий или услуг на основе результатов собственных научных, технологических и процессных исследован</w:t>
      </w:r>
      <w:r>
        <w:rPr>
          <w:rFonts w:ascii="Times New Roman" w:eastAsia="Calibri" w:hAnsi="Times New Roman" w:cs="Times New Roman"/>
          <w:sz w:val="28"/>
          <w:szCs w:val="28"/>
        </w:rPr>
        <w:t>ий, разработок и первых успехов</w:t>
      </w:r>
      <w:r w:rsidRPr="006B7A7A">
        <w:rPr>
          <w:rFonts w:ascii="Times New Roman" w:eastAsia="Calibri" w:hAnsi="Times New Roman" w:cs="Times New Roman"/>
          <w:sz w:val="28"/>
          <w:szCs w:val="28"/>
        </w:rPr>
        <w:t xml:space="preserve">. На стадии разработки. В стадии разработки и с большим потенциалом для коммерциализации </w:t>
      </w:r>
      <w:r w:rsidRPr="00C36631">
        <w:rPr>
          <w:rFonts w:ascii="Times New Roman" w:eastAsia="Calibri" w:hAnsi="Times New Roman" w:cs="Times New Roman"/>
          <w:sz w:val="28"/>
          <w:szCs w:val="28"/>
        </w:rPr>
        <w:t xml:space="preserve">[60]. </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EF05CA">
        <w:rPr>
          <w:rFonts w:ascii="Times New Roman" w:eastAsia="Calibri" w:hAnsi="Times New Roman" w:cs="Times New Roman"/>
          <w:sz w:val="28"/>
          <w:szCs w:val="28"/>
        </w:rPr>
        <w:t>В конкурсе п</w:t>
      </w:r>
      <w:r>
        <w:rPr>
          <w:rFonts w:ascii="Times New Roman" w:eastAsia="Calibri" w:hAnsi="Times New Roman" w:cs="Times New Roman"/>
          <w:sz w:val="28"/>
          <w:szCs w:val="28"/>
        </w:rPr>
        <w:t>рограммы могут принять участие:</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1) </w:t>
      </w:r>
      <w:r w:rsidRPr="006B7A7A">
        <w:rPr>
          <w:rFonts w:ascii="Times New Roman" w:eastAsia="Calibri" w:hAnsi="Times New Roman" w:cs="Times New Roman"/>
          <w:sz w:val="28"/>
          <w:szCs w:val="28"/>
        </w:rPr>
        <w:t>юридические лица, отнесенные к категории малых предприятий в соответствии с Федеральным законом от 24 июля 2007 года № 209-ФЗ и соо</w:t>
      </w:r>
      <w:r>
        <w:rPr>
          <w:rFonts w:ascii="Times New Roman" w:eastAsia="Calibri" w:hAnsi="Times New Roman" w:cs="Times New Roman"/>
          <w:sz w:val="28"/>
          <w:szCs w:val="28"/>
        </w:rPr>
        <w:t>тветствующие следующим условиям</w:t>
      </w:r>
      <w:r w:rsidRPr="00C36631">
        <w:rPr>
          <w:rFonts w:ascii="Times New Roman" w:eastAsia="Calibri" w:hAnsi="Times New Roman" w:cs="Times New Roman"/>
          <w:sz w:val="28"/>
          <w:szCs w:val="28"/>
        </w:rPr>
        <w:t>:</w:t>
      </w:r>
    </w:p>
    <w:p w:rsidR="001B6DE2" w:rsidRPr="00C36631" w:rsidRDefault="001B6DE2" w:rsidP="001B6DE2">
      <w:pPr>
        <w:numPr>
          <w:ilvl w:val="0"/>
          <w:numId w:val="7"/>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6B7A7A">
        <w:rPr>
          <w:rFonts w:ascii="Times New Roman" w:eastAsia="Calibri" w:hAnsi="Times New Roman" w:cs="Times New Roman"/>
          <w:sz w:val="28"/>
          <w:szCs w:val="28"/>
        </w:rPr>
        <w:t xml:space="preserve">ата регистрации предприятия не должна превышать 2 </w:t>
      </w:r>
      <w:r>
        <w:rPr>
          <w:rFonts w:ascii="Times New Roman" w:eastAsia="Calibri" w:hAnsi="Times New Roman" w:cs="Times New Roman"/>
          <w:sz w:val="28"/>
          <w:szCs w:val="28"/>
        </w:rPr>
        <w:t>года</w:t>
      </w:r>
      <w:r w:rsidRPr="006B7A7A">
        <w:rPr>
          <w:rFonts w:ascii="Times New Roman" w:eastAsia="Calibri" w:hAnsi="Times New Roman" w:cs="Times New Roman"/>
          <w:sz w:val="28"/>
          <w:szCs w:val="28"/>
        </w:rPr>
        <w:t xml:space="preserve"> со дня подачи заявки на конкурс</w:t>
      </w:r>
      <w:r w:rsidRPr="00C36631">
        <w:rPr>
          <w:rFonts w:ascii="Times New Roman" w:eastAsia="Calibri" w:hAnsi="Times New Roman" w:cs="Times New Roman"/>
          <w:sz w:val="28"/>
          <w:szCs w:val="28"/>
        </w:rPr>
        <w:t>;</w:t>
      </w:r>
    </w:p>
    <w:p w:rsidR="001B6DE2" w:rsidRPr="00C36631" w:rsidRDefault="001B6DE2" w:rsidP="001B6DE2">
      <w:pPr>
        <w:numPr>
          <w:ilvl w:val="0"/>
          <w:numId w:val="7"/>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6B7A7A">
        <w:rPr>
          <w:rFonts w:ascii="Times New Roman" w:eastAsia="Calibri" w:hAnsi="Times New Roman" w:cs="Times New Roman"/>
          <w:sz w:val="28"/>
          <w:szCs w:val="28"/>
        </w:rPr>
        <w:t>таршие сотрудники предприятия (директора, руководители научных проектов) не должны привлекаться к участию в других проектах, финансируемых Фондом</w:t>
      </w:r>
      <w:r w:rsidRPr="00C36631">
        <w:rPr>
          <w:rFonts w:ascii="Times New Roman" w:eastAsia="Calibri" w:hAnsi="Times New Roman" w:cs="Times New Roman"/>
          <w:sz w:val="28"/>
          <w:szCs w:val="28"/>
        </w:rPr>
        <w:t>;</w:t>
      </w:r>
    </w:p>
    <w:p w:rsidR="001B6DE2" w:rsidRPr="00C36631" w:rsidRDefault="001B6DE2" w:rsidP="001B6DE2">
      <w:pPr>
        <w:numPr>
          <w:ilvl w:val="0"/>
          <w:numId w:val="7"/>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6B7A7A">
        <w:rPr>
          <w:rFonts w:ascii="Times New Roman" w:eastAsia="Calibri" w:hAnsi="Times New Roman" w:cs="Times New Roman"/>
          <w:sz w:val="28"/>
          <w:szCs w:val="28"/>
        </w:rPr>
        <w:t>редприятие не должно было ранее получать финансовую поддержку Фонда</w:t>
      </w:r>
      <w:r w:rsidRPr="00C36631">
        <w:rPr>
          <w:rFonts w:ascii="Times New Roman" w:eastAsia="Calibri" w:hAnsi="Times New Roman" w:cs="Times New Roman"/>
          <w:sz w:val="28"/>
          <w:szCs w:val="28"/>
        </w:rPr>
        <w:t>.</w:t>
      </w: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2) </w:t>
      </w:r>
      <w:r w:rsidRPr="006B7A7A">
        <w:rPr>
          <w:rFonts w:ascii="Times New Roman" w:eastAsia="Calibri" w:hAnsi="Times New Roman" w:cs="Times New Roman"/>
          <w:sz w:val="28"/>
          <w:szCs w:val="28"/>
        </w:rPr>
        <w:t>физические лица - при условии, что они не участвуют одновременно в других проектах, финансируемых Фондом (исполняя обязанности исполнительных директоров, н</w:t>
      </w:r>
      <w:r>
        <w:rPr>
          <w:rFonts w:ascii="Times New Roman" w:eastAsia="Calibri" w:hAnsi="Times New Roman" w:cs="Times New Roman"/>
          <w:sz w:val="28"/>
          <w:szCs w:val="28"/>
        </w:rPr>
        <w:t>аучных руководителей проектов).</w:t>
      </w:r>
    </w:p>
    <w:p w:rsidR="001B6DE2" w:rsidRPr="00C36631" w:rsidRDefault="001B6DE2" w:rsidP="001B6DE2">
      <w:pPr>
        <w:autoSpaceDE w:val="0"/>
        <w:autoSpaceDN w:val="0"/>
        <w:adjustRightInd w:val="0"/>
        <w:spacing w:after="0" w:line="360" w:lineRule="auto"/>
        <w:jc w:val="both"/>
        <w:rPr>
          <w:rFonts w:ascii="Times New Roman" w:eastAsia="Calibri" w:hAnsi="Times New Roman" w:cs="Times New Roman"/>
          <w:sz w:val="28"/>
          <w:szCs w:val="28"/>
        </w:rPr>
      </w:pPr>
      <w:r w:rsidRPr="006B7A7A">
        <w:rPr>
          <w:rFonts w:ascii="Times New Roman" w:eastAsia="Calibri" w:hAnsi="Times New Roman" w:cs="Times New Roman"/>
          <w:sz w:val="28"/>
          <w:szCs w:val="28"/>
        </w:rPr>
        <w:t>Если вы выиграете конкурс, вам необходимо создать юридическое лицо</w:t>
      </w:r>
      <w:r w:rsidRPr="00C36631">
        <w:rPr>
          <w:rFonts w:ascii="Times New Roman" w:eastAsia="Calibri" w:hAnsi="Times New Roman" w:cs="Times New Roman"/>
          <w:sz w:val="28"/>
          <w:szCs w:val="28"/>
        </w:rPr>
        <w:t>.</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Программа реализуется в </w:t>
      </w:r>
      <w:r>
        <w:rPr>
          <w:rFonts w:ascii="Times New Roman" w:eastAsia="Calibri" w:hAnsi="Times New Roman" w:cs="Times New Roman"/>
          <w:sz w:val="28"/>
          <w:szCs w:val="28"/>
        </w:rPr>
        <w:t>два</w:t>
      </w:r>
      <w:r w:rsidRPr="00C36631">
        <w:rPr>
          <w:rFonts w:ascii="Times New Roman" w:eastAsia="Calibri" w:hAnsi="Times New Roman" w:cs="Times New Roman"/>
          <w:sz w:val="28"/>
          <w:szCs w:val="28"/>
        </w:rPr>
        <w:t xml:space="preserve"> этапа:</w:t>
      </w:r>
    </w:p>
    <w:p w:rsidR="001B6DE2" w:rsidRPr="00C36631" w:rsidRDefault="001B6DE2" w:rsidP="001B6DE2">
      <w:pPr>
        <w:numPr>
          <w:ilvl w:val="0"/>
          <w:numId w:val="15"/>
        </w:numPr>
        <w:autoSpaceDE w:val="0"/>
        <w:autoSpaceDN w:val="0"/>
        <w:adjustRightInd w:val="0"/>
        <w:spacing w:after="0" w:line="360" w:lineRule="auto"/>
        <w:ind w:left="0"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Первый этап п</w:t>
      </w:r>
      <w:r w:rsidRPr="00C36631">
        <w:rPr>
          <w:rFonts w:ascii="Times New Roman" w:eastAsia="Calibri" w:hAnsi="Times New Roman" w:cs="Times New Roman"/>
          <w:sz w:val="28"/>
          <w:szCs w:val="28"/>
        </w:rPr>
        <w:t>рограммы (конкурс «Старт-1»);</w:t>
      </w:r>
    </w:p>
    <w:p w:rsidR="001B6DE2" w:rsidRPr="00C36631" w:rsidRDefault="001B6DE2" w:rsidP="001B6DE2">
      <w:pPr>
        <w:numPr>
          <w:ilvl w:val="0"/>
          <w:numId w:val="15"/>
        </w:numPr>
        <w:autoSpaceDE w:val="0"/>
        <w:autoSpaceDN w:val="0"/>
        <w:adjustRightInd w:val="0"/>
        <w:spacing w:after="0" w:line="360" w:lineRule="auto"/>
        <w:ind w:left="0"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Второй</w:t>
      </w:r>
      <w:r w:rsidRPr="00C36631">
        <w:rPr>
          <w:rFonts w:ascii="Times New Roman" w:eastAsia="Calibri" w:hAnsi="Times New Roman" w:cs="Times New Roman"/>
          <w:sz w:val="28"/>
          <w:szCs w:val="28"/>
        </w:rPr>
        <w:t xml:space="preserve"> этап Программы (конкурс «Старт-2»);</w:t>
      </w:r>
    </w:p>
    <w:p w:rsidR="001B6DE2"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Параметры поддержки представлены на </w:t>
      </w:r>
      <w:r>
        <w:rPr>
          <w:rFonts w:ascii="Times New Roman" w:eastAsia="Calibri" w:hAnsi="Times New Roman" w:cs="Times New Roman"/>
          <w:sz w:val="28"/>
          <w:szCs w:val="28"/>
        </w:rPr>
        <w:t>в таблице 1</w:t>
      </w:r>
      <w:r w:rsidRPr="00C36631">
        <w:rPr>
          <w:rFonts w:ascii="Times New Roman" w:eastAsia="Calibri" w:hAnsi="Times New Roman" w:cs="Times New Roman"/>
          <w:sz w:val="28"/>
          <w:szCs w:val="28"/>
        </w:rPr>
        <w:t xml:space="preserve">: </w:t>
      </w:r>
    </w:p>
    <w:p w:rsidR="001B6DE2" w:rsidRDefault="001B6DE2" w:rsidP="001B6DE2">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1 -</w:t>
      </w:r>
      <w:r w:rsidRPr="00611799">
        <w:rPr>
          <w:rFonts w:ascii="Times New Roman" w:eastAsia="Calibri" w:hAnsi="Times New Roman" w:cs="Times New Roman"/>
          <w:sz w:val="28"/>
          <w:szCs w:val="28"/>
        </w:rPr>
        <w:t xml:space="preserve"> </w:t>
      </w:r>
      <w:r w:rsidRPr="00C36631">
        <w:rPr>
          <w:rFonts w:ascii="Times New Roman" w:eastAsia="Calibri" w:hAnsi="Times New Roman" w:cs="Times New Roman"/>
          <w:sz w:val="28"/>
          <w:szCs w:val="28"/>
        </w:rPr>
        <w:t>Параметры поддержки в рамках программы «СТАРТ» [60]</w:t>
      </w:r>
    </w:p>
    <w:tbl>
      <w:tblPr>
        <w:tblStyle w:val="a3"/>
        <w:tblW w:w="9351" w:type="dxa"/>
        <w:tblLook w:val="04A0" w:firstRow="1" w:lastRow="0" w:firstColumn="1" w:lastColumn="0" w:noHBand="0" w:noVBand="1"/>
      </w:tblPr>
      <w:tblGrid>
        <w:gridCol w:w="2207"/>
        <w:gridCol w:w="1838"/>
        <w:gridCol w:w="1762"/>
        <w:gridCol w:w="3544"/>
      </w:tblGrid>
      <w:tr w:rsidR="001B6DE2" w:rsidTr="00CF73CA">
        <w:tc>
          <w:tcPr>
            <w:tcW w:w="2207" w:type="dxa"/>
          </w:tcPr>
          <w:p w:rsidR="001B6DE2" w:rsidRPr="006B7A7A" w:rsidRDefault="001B6DE2" w:rsidP="00CF73CA">
            <w:pPr>
              <w:autoSpaceDE w:val="0"/>
              <w:autoSpaceDN w:val="0"/>
              <w:adjustRightInd w:val="0"/>
              <w:spacing w:line="360" w:lineRule="auto"/>
              <w:jc w:val="both"/>
              <w:rPr>
                <w:rFonts w:ascii="Times New Roman" w:eastAsia="Calibri" w:hAnsi="Times New Roman" w:cs="Times New Roman"/>
                <w:sz w:val="24"/>
                <w:szCs w:val="24"/>
              </w:rPr>
            </w:pPr>
          </w:p>
        </w:tc>
        <w:tc>
          <w:tcPr>
            <w:tcW w:w="1838" w:type="dxa"/>
          </w:tcPr>
          <w:p w:rsidR="001B6DE2" w:rsidRPr="006B7A7A" w:rsidRDefault="001B6DE2" w:rsidP="00CF73CA">
            <w:pPr>
              <w:autoSpaceDE w:val="0"/>
              <w:autoSpaceDN w:val="0"/>
              <w:adjustRightInd w:val="0"/>
              <w:spacing w:line="360" w:lineRule="auto"/>
              <w:jc w:val="both"/>
              <w:rPr>
                <w:rFonts w:ascii="Times New Roman" w:eastAsia="Calibri" w:hAnsi="Times New Roman" w:cs="Times New Roman"/>
                <w:sz w:val="24"/>
                <w:szCs w:val="24"/>
              </w:rPr>
            </w:pPr>
            <w:r w:rsidRPr="006B7A7A">
              <w:rPr>
                <w:rFonts w:ascii="Times New Roman" w:eastAsia="Calibri" w:hAnsi="Times New Roman" w:cs="Times New Roman"/>
                <w:sz w:val="24"/>
                <w:szCs w:val="24"/>
              </w:rPr>
              <w:t>«Старт 1»</w:t>
            </w:r>
          </w:p>
        </w:tc>
        <w:tc>
          <w:tcPr>
            <w:tcW w:w="1762" w:type="dxa"/>
          </w:tcPr>
          <w:p w:rsidR="001B6DE2" w:rsidRPr="006B7A7A" w:rsidRDefault="001B6DE2" w:rsidP="00CF73CA">
            <w:pPr>
              <w:autoSpaceDE w:val="0"/>
              <w:autoSpaceDN w:val="0"/>
              <w:adjustRightInd w:val="0"/>
              <w:spacing w:line="360" w:lineRule="auto"/>
              <w:jc w:val="both"/>
              <w:rPr>
                <w:rFonts w:ascii="Times New Roman" w:eastAsia="Calibri" w:hAnsi="Times New Roman" w:cs="Times New Roman"/>
                <w:sz w:val="24"/>
                <w:szCs w:val="24"/>
              </w:rPr>
            </w:pPr>
            <w:r w:rsidRPr="006B7A7A">
              <w:rPr>
                <w:rFonts w:ascii="Times New Roman" w:eastAsia="Calibri" w:hAnsi="Times New Roman" w:cs="Times New Roman"/>
                <w:sz w:val="24"/>
                <w:szCs w:val="24"/>
              </w:rPr>
              <w:t>«Старт 2»</w:t>
            </w:r>
          </w:p>
        </w:tc>
        <w:tc>
          <w:tcPr>
            <w:tcW w:w="3544" w:type="dxa"/>
          </w:tcPr>
          <w:p w:rsidR="001B6DE2" w:rsidRPr="006B7A7A" w:rsidRDefault="001B6DE2" w:rsidP="00CF73CA">
            <w:pPr>
              <w:autoSpaceDE w:val="0"/>
              <w:autoSpaceDN w:val="0"/>
              <w:adjustRightInd w:val="0"/>
              <w:spacing w:line="360" w:lineRule="auto"/>
              <w:jc w:val="both"/>
              <w:rPr>
                <w:rFonts w:ascii="Times New Roman" w:eastAsia="Calibri" w:hAnsi="Times New Roman" w:cs="Times New Roman"/>
                <w:sz w:val="24"/>
                <w:szCs w:val="24"/>
              </w:rPr>
            </w:pPr>
            <w:r w:rsidRPr="006B7A7A">
              <w:rPr>
                <w:rFonts w:ascii="Times New Roman" w:eastAsia="Calibri" w:hAnsi="Times New Roman" w:cs="Times New Roman"/>
                <w:sz w:val="24"/>
                <w:szCs w:val="24"/>
              </w:rPr>
              <w:t>«Бизнес-Старт»</w:t>
            </w:r>
          </w:p>
        </w:tc>
      </w:tr>
      <w:tr w:rsidR="001B6DE2" w:rsidTr="00CF73CA">
        <w:tc>
          <w:tcPr>
            <w:tcW w:w="2207" w:type="dxa"/>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 xml:space="preserve">Сумма </w:t>
            </w:r>
            <w:r>
              <w:rPr>
                <w:rFonts w:ascii="Times New Roman" w:eastAsia="Calibri" w:hAnsi="Times New Roman" w:cs="Times New Roman"/>
                <w:sz w:val="24"/>
                <w:szCs w:val="24"/>
              </w:rPr>
              <w:t>финансирования</w:t>
            </w:r>
          </w:p>
        </w:tc>
        <w:tc>
          <w:tcPr>
            <w:tcW w:w="1838" w:type="dxa"/>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До четырех миллионов рублей</w:t>
            </w:r>
          </w:p>
        </w:tc>
        <w:tc>
          <w:tcPr>
            <w:tcW w:w="1762" w:type="dxa"/>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До восьми миллионов рублей</w:t>
            </w:r>
          </w:p>
        </w:tc>
        <w:tc>
          <w:tcPr>
            <w:tcW w:w="3544" w:type="dxa"/>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До двенадцати миллионов рублей</w:t>
            </w:r>
          </w:p>
        </w:tc>
      </w:tr>
      <w:tr w:rsidR="001B6DE2" w:rsidTr="00CF73CA">
        <w:trPr>
          <w:trHeight w:val="657"/>
        </w:trPr>
        <w:tc>
          <w:tcPr>
            <w:tcW w:w="2207" w:type="dxa"/>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Период</w:t>
            </w:r>
          </w:p>
        </w:tc>
        <w:tc>
          <w:tcPr>
            <w:tcW w:w="7144" w:type="dxa"/>
            <w:gridSpan w:val="3"/>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Один год</w:t>
            </w:r>
          </w:p>
        </w:tc>
      </w:tr>
      <w:tr w:rsidR="001B6DE2" w:rsidTr="00CF73CA">
        <w:tc>
          <w:tcPr>
            <w:tcW w:w="2207" w:type="dxa"/>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Внебюджетное со финансирование</w:t>
            </w:r>
          </w:p>
        </w:tc>
        <w:tc>
          <w:tcPr>
            <w:tcW w:w="1838" w:type="dxa"/>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Не требуется</w:t>
            </w:r>
          </w:p>
        </w:tc>
        <w:tc>
          <w:tcPr>
            <w:tcW w:w="1762" w:type="dxa"/>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Не менее пятнадцати процентов от размера поддержки</w:t>
            </w:r>
          </w:p>
        </w:tc>
        <w:tc>
          <w:tcPr>
            <w:tcW w:w="3544" w:type="dxa"/>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Не менее тридцати процентов от размера поддержки</w:t>
            </w:r>
          </w:p>
        </w:tc>
      </w:tr>
      <w:tr w:rsidR="001B6DE2" w:rsidTr="00CF73CA">
        <w:trPr>
          <w:trHeight w:val="1034"/>
        </w:trPr>
        <w:tc>
          <w:tcPr>
            <w:tcW w:w="2207" w:type="dxa"/>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Цель затрат</w:t>
            </w:r>
          </w:p>
        </w:tc>
        <w:tc>
          <w:tcPr>
            <w:tcW w:w="3600" w:type="dxa"/>
            <w:gridSpan w:val="2"/>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Исполнение НИОКР</w:t>
            </w:r>
          </w:p>
        </w:tc>
        <w:tc>
          <w:tcPr>
            <w:tcW w:w="3544" w:type="dxa"/>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Получение прибыли от НИОКР</w:t>
            </w:r>
          </w:p>
        </w:tc>
      </w:tr>
      <w:tr w:rsidR="001B6DE2" w:rsidTr="00CF73CA">
        <w:tc>
          <w:tcPr>
            <w:tcW w:w="2207" w:type="dxa"/>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Участники</w:t>
            </w:r>
          </w:p>
        </w:tc>
        <w:tc>
          <w:tcPr>
            <w:tcW w:w="1838" w:type="dxa"/>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Физические и юридические лица</w:t>
            </w:r>
          </w:p>
        </w:tc>
        <w:tc>
          <w:tcPr>
            <w:tcW w:w="1762" w:type="dxa"/>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Юридические</w:t>
            </w:r>
          </w:p>
        </w:tc>
        <w:tc>
          <w:tcPr>
            <w:tcW w:w="3544" w:type="dxa"/>
            <w:vAlign w:val="center"/>
          </w:tcPr>
          <w:p w:rsidR="001B6DE2" w:rsidRPr="006B7A7A" w:rsidRDefault="001B6DE2" w:rsidP="00CF73CA">
            <w:pPr>
              <w:autoSpaceDE w:val="0"/>
              <w:autoSpaceDN w:val="0"/>
              <w:adjustRightInd w:val="0"/>
              <w:spacing w:line="360" w:lineRule="auto"/>
              <w:jc w:val="center"/>
              <w:rPr>
                <w:rFonts w:ascii="Times New Roman" w:eastAsia="Calibri" w:hAnsi="Times New Roman" w:cs="Times New Roman"/>
                <w:sz w:val="24"/>
                <w:szCs w:val="24"/>
              </w:rPr>
            </w:pPr>
            <w:r w:rsidRPr="006B7A7A">
              <w:rPr>
                <w:rFonts w:ascii="Times New Roman" w:eastAsia="Calibri" w:hAnsi="Times New Roman" w:cs="Times New Roman"/>
                <w:sz w:val="24"/>
                <w:szCs w:val="24"/>
              </w:rPr>
              <w:t>Юридические лица, прошедшие один из этап программы</w:t>
            </w:r>
          </w:p>
        </w:tc>
      </w:tr>
    </w:tbl>
    <w:p w:rsidR="001B6DE2" w:rsidRPr="00C36631" w:rsidRDefault="001B6DE2" w:rsidP="001B6DE2">
      <w:pPr>
        <w:autoSpaceDE w:val="0"/>
        <w:autoSpaceDN w:val="0"/>
        <w:adjustRightInd w:val="0"/>
        <w:spacing w:after="0" w:line="360" w:lineRule="auto"/>
        <w:ind w:firstLine="567"/>
        <w:jc w:val="center"/>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611799">
        <w:rPr>
          <w:rFonts w:ascii="Times New Roman" w:eastAsia="Calibri" w:hAnsi="Times New Roman" w:cs="Times New Roman"/>
          <w:sz w:val="28"/>
          <w:szCs w:val="28"/>
        </w:rPr>
        <w:t>Следующая программа – «Развитие» [61], целью которой является поддержка компаний, которые уже имеют опыт разработки и сбыта собственной высокотехнологичной продукции и планируют разработку и создание новой продукции. Согласно Федеральному закону от 24 июля 2007 г. № 209-ФЗ юридические лица, относящиеся к категории малых предприятий, могут участвовать в конкурсе по данной программе при условии</w:t>
      </w:r>
      <w:r w:rsidRPr="00C36631">
        <w:rPr>
          <w:rFonts w:ascii="Times New Roman" w:eastAsia="Calibri" w:hAnsi="Times New Roman" w:cs="Times New Roman"/>
          <w:sz w:val="28"/>
          <w:szCs w:val="28"/>
        </w:rPr>
        <w:t>:</w:t>
      </w:r>
    </w:p>
    <w:p w:rsidR="001B6DE2" w:rsidRPr="00C36631" w:rsidRDefault="001B6DE2" w:rsidP="001B6DE2">
      <w:pPr>
        <w:numPr>
          <w:ilvl w:val="0"/>
          <w:numId w:val="8"/>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611799">
        <w:rPr>
          <w:rFonts w:ascii="Times New Roman" w:eastAsia="Calibri" w:hAnsi="Times New Roman" w:cs="Times New Roman"/>
          <w:sz w:val="28"/>
          <w:szCs w:val="28"/>
        </w:rPr>
        <w:t>тсутств</w:t>
      </w:r>
      <w:r>
        <w:rPr>
          <w:rFonts w:ascii="Times New Roman" w:eastAsia="Calibri" w:hAnsi="Times New Roman" w:cs="Times New Roman"/>
          <w:sz w:val="28"/>
          <w:szCs w:val="28"/>
        </w:rPr>
        <w:t>ует</w:t>
      </w:r>
      <w:r w:rsidRPr="00611799">
        <w:rPr>
          <w:rFonts w:ascii="Times New Roman" w:eastAsia="Calibri" w:hAnsi="Times New Roman" w:cs="Times New Roman"/>
          <w:sz w:val="28"/>
          <w:szCs w:val="28"/>
        </w:rPr>
        <w:t xml:space="preserve"> незавершенн</w:t>
      </w:r>
      <w:r>
        <w:rPr>
          <w:rFonts w:ascii="Times New Roman" w:eastAsia="Calibri" w:hAnsi="Times New Roman" w:cs="Times New Roman"/>
          <w:sz w:val="28"/>
          <w:szCs w:val="28"/>
        </w:rPr>
        <w:t>ое</w:t>
      </w:r>
      <w:r w:rsidRPr="00611799">
        <w:rPr>
          <w:rFonts w:ascii="Times New Roman" w:eastAsia="Calibri" w:hAnsi="Times New Roman" w:cs="Times New Roman"/>
          <w:sz w:val="28"/>
          <w:szCs w:val="28"/>
        </w:rPr>
        <w:t xml:space="preserve"> грантово</w:t>
      </w:r>
      <w:r>
        <w:rPr>
          <w:rFonts w:ascii="Times New Roman" w:eastAsia="Calibri" w:hAnsi="Times New Roman" w:cs="Times New Roman"/>
          <w:sz w:val="28"/>
          <w:szCs w:val="28"/>
        </w:rPr>
        <w:t>е</w:t>
      </w:r>
      <w:r w:rsidRPr="00611799">
        <w:rPr>
          <w:rFonts w:ascii="Times New Roman" w:eastAsia="Calibri" w:hAnsi="Times New Roman" w:cs="Times New Roman"/>
          <w:sz w:val="28"/>
          <w:szCs w:val="28"/>
        </w:rPr>
        <w:t xml:space="preserve"> соглашения с Фондом</w:t>
      </w:r>
      <w:r w:rsidRPr="00C36631">
        <w:rPr>
          <w:rFonts w:ascii="Times New Roman" w:eastAsia="Calibri" w:hAnsi="Times New Roman" w:cs="Times New Roman"/>
          <w:sz w:val="28"/>
          <w:szCs w:val="28"/>
        </w:rPr>
        <w:t>;</w:t>
      </w:r>
    </w:p>
    <w:p w:rsidR="001B6DE2" w:rsidRPr="00C36631" w:rsidRDefault="001B6DE2" w:rsidP="001B6DE2">
      <w:pPr>
        <w:numPr>
          <w:ilvl w:val="0"/>
          <w:numId w:val="8"/>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числится о</w:t>
      </w:r>
      <w:r w:rsidRPr="00611799">
        <w:rPr>
          <w:rFonts w:ascii="Times New Roman" w:eastAsia="Calibri" w:hAnsi="Times New Roman" w:cs="Times New Roman"/>
          <w:sz w:val="28"/>
          <w:szCs w:val="28"/>
        </w:rPr>
        <w:t>пыт разработки и продвижения на рынок собственной высокотехнологичной продукции</w:t>
      </w:r>
      <w:r w:rsidRPr="00C36631">
        <w:rPr>
          <w:rFonts w:ascii="Times New Roman" w:eastAsia="Calibri" w:hAnsi="Times New Roman" w:cs="Times New Roman"/>
          <w:sz w:val="28"/>
          <w:szCs w:val="28"/>
        </w:rPr>
        <w:t>.</w:t>
      </w: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611799">
        <w:rPr>
          <w:rFonts w:ascii="Times New Roman" w:eastAsia="Calibri" w:hAnsi="Times New Roman" w:cs="Times New Roman"/>
          <w:sz w:val="28"/>
          <w:szCs w:val="28"/>
        </w:rPr>
        <w:t>Приоритет при реализации проектов импортозамещения будет отдаваться быстрорастущим предприятиям с высокой наукоемкостью и хорошими перспективами коммерциализации.</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611799">
        <w:rPr>
          <w:rFonts w:ascii="Times New Roman" w:eastAsia="Calibri" w:hAnsi="Times New Roman" w:cs="Times New Roman"/>
          <w:sz w:val="28"/>
          <w:szCs w:val="28"/>
        </w:rPr>
        <w:t>Варианты поддержки включают в себя</w:t>
      </w:r>
      <w:r w:rsidRPr="00C36631">
        <w:rPr>
          <w:rFonts w:ascii="Times New Roman" w:eastAsia="Calibri" w:hAnsi="Times New Roman" w:cs="Times New Roman"/>
          <w:sz w:val="28"/>
          <w:szCs w:val="28"/>
        </w:rPr>
        <w:t>:</w:t>
      </w:r>
    </w:p>
    <w:p w:rsidR="001B6DE2" w:rsidRPr="00C36631" w:rsidRDefault="001B6DE2" w:rsidP="001B6DE2">
      <w:pPr>
        <w:numPr>
          <w:ilvl w:val="0"/>
          <w:numId w:val="9"/>
        </w:numPr>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Pr="00611799">
        <w:rPr>
          <w:rFonts w:ascii="Times New Roman" w:eastAsia="Calibri" w:hAnsi="Times New Roman" w:cs="Times New Roman"/>
          <w:sz w:val="28"/>
          <w:szCs w:val="28"/>
        </w:rPr>
        <w:t>ащита прав интеллектуальной собственности в процессе разработки</w:t>
      </w:r>
      <w:r w:rsidRPr="00C36631">
        <w:rPr>
          <w:rFonts w:ascii="Times New Roman" w:eastAsia="Calibri" w:hAnsi="Times New Roman" w:cs="Times New Roman"/>
          <w:sz w:val="28"/>
          <w:szCs w:val="28"/>
        </w:rPr>
        <w:t>;</w:t>
      </w:r>
    </w:p>
    <w:p w:rsidR="001B6DE2" w:rsidRPr="00C36631" w:rsidRDefault="001B6DE2" w:rsidP="001B6DE2">
      <w:pPr>
        <w:numPr>
          <w:ilvl w:val="0"/>
          <w:numId w:val="9"/>
        </w:numPr>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помощь в выводе на рынок</w:t>
      </w:r>
      <w:r w:rsidRPr="00611799">
        <w:rPr>
          <w:rFonts w:ascii="Times New Roman" w:eastAsia="Calibri" w:hAnsi="Times New Roman" w:cs="Times New Roman"/>
          <w:sz w:val="28"/>
          <w:szCs w:val="28"/>
        </w:rPr>
        <w:t xml:space="preserve"> высокотехнологичн</w:t>
      </w:r>
      <w:r>
        <w:rPr>
          <w:rFonts w:ascii="Times New Roman" w:eastAsia="Calibri" w:hAnsi="Times New Roman" w:cs="Times New Roman"/>
          <w:sz w:val="28"/>
          <w:szCs w:val="28"/>
        </w:rPr>
        <w:t>ой</w:t>
      </w:r>
      <w:r w:rsidRPr="00611799">
        <w:rPr>
          <w:rFonts w:ascii="Times New Roman" w:eastAsia="Calibri" w:hAnsi="Times New Roman" w:cs="Times New Roman"/>
          <w:sz w:val="28"/>
          <w:szCs w:val="28"/>
        </w:rPr>
        <w:t xml:space="preserve"> продукци</w:t>
      </w:r>
      <w:r>
        <w:rPr>
          <w:rFonts w:ascii="Times New Roman" w:eastAsia="Calibri" w:hAnsi="Times New Roman" w:cs="Times New Roman"/>
          <w:sz w:val="28"/>
          <w:szCs w:val="28"/>
        </w:rPr>
        <w:t>и</w:t>
      </w:r>
      <w:r w:rsidRPr="00611799">
        <w:rPr>
          <w:rFonts w:ascii="Times New Roman" w:eastAsia="Calibri" w:hAnsi="Times New Roman" w:cs="Times New Roman"/>
          <w:sz w:val="28"/>
          <w:szCs w:val="28"/>
        </w:rPr>
        <w:t xml:space="preserve"> собственного производства</w:t>
      </w:r>
      <w:r w:rsidRPr="00C36631">
        <w:rPr>
          <w:rFonts w:ascii="Times New Roman" w:eastAsia="Calibri" w:hAnsi="Times New Roman" w:cs="Times New Roman"/>
          <w:sz w:val="28"/>
          <w:szCs w:val="28"/>
        </w:rPr>
        <w:t>;</w:t>
      </w:r>
    </w:p>
    <w:p w:rsidR="001B6DE2" w:rsidRDefault="001B6DE2" w:rsidP="001B6DE2">
      <w:pPr>
        <w:numPr>
          <w:ilvl w:val="0"/>
          <w:numId w:val="9"/>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611799">
        <w:rPr>
          <w:rFonts w:ascii="Times New Roman" w:eastAsia="Calibri" w:hAnsi="Times New Roman" w:cs="Times New Roman"/>
          <w:sz w:val="28"/>
          <w:szCs w:val="28"/>
        </w:rPr>
        <w:t>величение продаж инновационной продукции, созданной в рамках проекта (годовые показатели за 5 лет установлены при подписании соглашения о финансировании)</w:t>
      </w:r>
      <w:r w:rsidRPr="00C36631">
        <w:rPr>
          <w:rFonts w:ascii="Times New Roman" w:eastAsia="Calibri" w:hAnsi="Times New Roman" w:cs="Times New Roman"/>
          <w:sz w:val="28"/>
          <w:szCs w:val="28"/>
        </w:rPr>
        <w:t>;</w:t>
      </w:r>
    </w:p>
    <w:p w:rsidR="001B6DE2" w:rsidRPr="00C36631" w:rsidRDefault="001B6DE2" w:rsidP="001B6DE2">
      <w:pPr>
        <w:numPr>
          <w:ilvl w:val="0"/>
          <w:numId w:val="9"/>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611799">
        <w:rPr>
          <w:rFonts w:ascii="Times New Roman" w:eastAsia="Calibri" w:hAnsi="Times New Roman" w:cs="Times New Roman"/>
          <w:sz w:val="28"/>
          <w:szCs w:val="28"/>
        </w:rPr>
        <w:t>величение количества вновь созданных и/или модернизированных высокопроизводительных рабочих мест в рамках проекта (годовые целевые показатели на 5 лет были установлены при подписании грантового соглашения).</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Программа «КОММЕРЦИАЛИЗАЦИЯ» [62] </w:t>
      </w:r>
      <w:r w:rsidRPr="00611799">
        <w:rPr>
          <w:rFonts w:ascii="Times New Roman" w:eastAsia="Calibri" w:hAnsi="Times New Roman" w:cs="Times New Roman"/>
          <w:sz w:val="28"/>
          <w:szCs w:val="28"/>
        </w:rPr>
        <w:t>направлена на поддержку компаний, завершивших этап исследований и разработок и планирующих создать или расширить производство инновационной продукции. Согласно Федеральному закону от 24 июля 2007 года № 209-ФЗ в конкурсе по данной программе могут участвовать юридические лица, относящиес</w:t>
      </w:r>
      <w:r>
        <w:rPr>
          <w:rFonts w:ascii="Times New Roman" w:eastAsia="Calibri" w:hAnsi="Times New Roman" w:cs="Times New Roman"/>
          <w:sz w:val="28"/>
          <w:szCs w:val="28"/>
        </w:rPr>
        <w:t>я к категории малых предприятий</w:t>
      </w:r>
      <w:r w:rsidRPr="00C36631">
        <w:rPr>
          <w:rFonts w:ascii="Times New Roman" w:eastAsia="Calibri" w:hAnsi="Times New Roman" w:cs="Times New Roman"/>
          <w:sz w:val="28"/>
          <w:szCs w:val="28"/>
        </w:rPr>
        <w:t>:</w:t>
      </w:r>
    </w:p>
    <w:p w:rsidR="001B6DE2" w:rsidRPr="00C36631" w:rsidRDefault="001B6DE2" w:rsidP="001B6DE2">
      <w:pPr>
        <w:numPr>
          <w:ilvl w:val="0"/>
          <w:numId w:val="10"/>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611799">
        <w:rPr>
          <w:rFonts w:ascii="Times New Roman" w:eastAsia="Calibri" w:hAnsi="Times New Roman" w:cs="Times New Roman"/>
          <w:sz w:val="28"/>
          <w:szCs w:val="28"/>
        </w:rPr>
        <w:t>редприятия, не заключившие с фондом действующий договор финансирования;</w:t>
      </w:r>
    </w:p>
    <w:p w:rsidR="001B6DE2" w:rsidRPr="00C36631" w:rsidRDefault="001B6DE2" w:rsidP="001B6DE2">
      <w:pPr>
        <w:numPr>
          <w:ilvl w:val="0"/>
          <w:numId w:val="10"/>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611799">
        <w:rPr>
          <w:rFonts w:ascii="Times New Roman" w:eastAsia="Calibri" w:hAnsi="Times New Roman" w:cs="Times New Roman"/>
          <w:sz w:val="28"/>
          <w:szCs w:val="28"/>
        </w:rPr>
        <w:t>редприятия, завершившие этап исследований и разработок</w:t>
      </w:r>
      <w:r w:rsidRPr="00C36631">
        <w:rPr>
          <w:rFonts w:ascii="Times New Roman" w:eastAsia="Calibri" w:hAnsi="Times New Roman" w:cs="Times New Roman"/>
          <w:sz w:val="28"/>
          <w:szCs w:val="28"/>
        </w:rPr>
        <w:t>; </w:t>
      </w:r>
    </w:p>
    <w:p w:rsidR="001B6DE2" w:rsidRPr="00C36631" w:rsidRDefault="001B6DE2" w:rsidP="001B6DE2">
      <w:pPr>
        <w:numPr>
          <w:ilvl w:val="0"/>
          <w:numId w:val="10"/>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611799">
        <w:rPr>
          <w:rFonts w:ascii="Times New Roman" w:eastAsia="Calibri" w:hAnsi="Times New Roman" w:cs="Times New Roman"/>
          <w:sz w:val="28"/>
          <w:szCs w:val="28"/>
        </w:rPr>
        <w:t>редприятия, имеющие опыт реализации высокотехнологичной продукции.</w:t>
      </w: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611799">
        <w:rPr>
          <w:rFonts w:ascii="Times New Roman" w:eastAsia="Calibri" w:hAnsi="Times New Roman" w:cs="Times New Roman"/>
          <w:sz w:val="28"/>
          <w:szCs w:val="28"/>
        </w:rPr>
        <w:t>Для реализации проектов импортозамещения приоритет будет отдаваться предприятиям, которые являются динамичными, высоконаукоемкими и имеют хорошие перспективы коммерциализации.</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Варианты</w:t>
      </w:r>
      <w:r w:rsidRPr="00C36631">
        <w:rPr>
          <w:rFonts w:ascii="Times New Roman" w:eastAsia="Calibri" w:hAnsi="Times New Roman" w:cs="Times New Roman"/>
          <w:sz w:val="28"/>
          <w:szCs w:val="28"/>
        </w:rPr>
        <w:t xml:space="preserve"> поддержки:</w:t>
      </w:r>
    </w:p>
    <w:p w:rsidR="001B6DE2" w:rsidRPr="00C36631" w:rsidRDefault="001B6DE2" w:rsidP="001B6DE2">
      <w:pPr>
        <w:numPr>
          <w:ilvl w:val="0"/>
          <w:numId w:val="11"/>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611799">
        <w:rPr>
          <w:rFonts w:ascii="Times New Roman" w:eastAsia="Calibri" w:hAnsi="Times New Roman" w:cs="Times New Roman"/>
          <w:sz w:val="28"/>
          <w:szCs w:val="28"/>
        </w:rPr>
        <w:t>умма финансирования – до 30 миллионов рублей</w:t>
      </w:r>
      <w:r w:rsidRPr="00C36631">
        <w:rPr>
          <w:rFonts w:ascii="Times New Roman" w:eastAsia="Calibri" w:hAnsi="Times New Roman" w:cs="Times New Roman"/>
          <w:sz w:val="28"/>
          <w:szCs w:val="28"/>
        </w:rPr>
        <w:t>;</w:t>
      </w:r>
    </w:p>
    <w:p w:rsidR="001B6DE2" w:rsidRDefault="001B6DE2" w:rsidP="001B6DE2">
      <w:pPr>
        <w:numPr>
          <w:ilvl w:val="0"/>
          <w:numId w:val="11"/>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D22405">
        <w:rPr>
          <w:rFonts w:ascii="Times New Roman" w:eastAsia="Calibri" w:hAnsi="Times New Roman" w:cs="Times New Roman"/>
          <w:sz w:val="28"/>
          <w:szCs w:val="28"/>
        </w:rPr>
        <w:t xml:space="preserve">Срок финансирования – 12 месяцев (разделен на два этапа, каждый этап – </w:t>
      </w:r>
      <w:r>
        <w:rPr>
          <w:rFonts w:ascii="Times New Roman" w:eastAsia="Calibri" w:hAnsi="Times New Roman" w:cs="Times New Roman"/>
          <w:sz w:val="28"/>
          <w:szCs w:val="28"/>
        </w:rPr>
        <w:t>шесть</w:t>
      </w:r>
      <w:r w:rsidRPr="00D22405">
        <w:rPr>
          <w:rFonts w:ascii="Times New Roman" w:eastAsia="Calibri" w:hAnsi="Times New Roman" w:cs="Times New Roman"/>
          <w:sz w:val="28"/>
          <w:szCs w:val="28"/>
        </w:rPr>
        <w:t xml:space="preserve"> месяцев)</w:t>
      </w:r>
      <w:r>
        <w:rPr>
          <w:rFonts w:ascii="Times New Roman" w:eastAsia="Calibri" w:hAnsi="Times New Roman" w:cs="Times New Roman"/>
          <w:sz w:val="28"/>
          <w:szCs w:val="28"/>
        </w:rPr>
        <w:t>;</w:t>
      </w:r>
    </w:p>
    <w:p w:rsidR="001B6DE2" w:rsidRPr="00C36631" w:rsidRDefault="001B6DE2" w:rsidP="001B6DE2">
      <w:pPr>
        <w:numPr>
          <w:ilvl w:val="0"/>
          <w:numId w:val="11"/>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D22405">
        <w:rPr>
          <w:rFonts w:ascii="Times New Roman" w:eastAsia="Calibri" w:hAnsi="Times New Roman" w:cs="Times New Roman"/>
          <w:sz w:val="28"/>
          <w:szCs w:val="28"/>
        </w:rPr>
        <w:t>внебюджетное софинансирование (за счет собственных средств или средств инвесторов) – не менее 50% суммы гранта</w:t>
      </w:r>
      <w:r w:rsidRPr="00C36631">
        <w:rPr>
          <w:rFonts w:ascii="Times New Roman" w:eastAsia="Calibri" w:hAnsi="Times New Roman" w:cs="Times New Roman"/>
          <w:sz w:val="28"/>
          <w:szCs w:val="28"/>
        </w:rPr>
        <w:t>;</w:t>
      </w:r>
    </w:p>
    <w:p w:rsidR="001B6DE2" w:rsidRPr="00C36631" w:rsidRDefault="001B6DE2" w:rsidP="001B6DE2">
      <w:pPr>
        <w:numPr>
          <w:ilvl w:val="0"/>
          <w:numId w:val="11"/>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коммерциализация результатов НИОКР. </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lastRenderedPageBreak/>
        <w:t xml:space="preserve">Программа «ИНТЕРНАЦИОНАЛИЗАЦИЯ» [63] </w:t>
      </w:r>
      <w:r w:rsidRPr="00D22405">
        <w:rPr>
          <w:rFonts w:ascii="Times New Roman" w:eastAsia="Calibri" w:hAnsi="Times New Roman" w:cs="Times New Roman"/>
          <w:sz w:val="28"/>
          <w:szCs w:val="28"/>
        </w:rPr>
        <w:t>направлена на поддержку предприятий в реализации совместных проектов, разработке и выводе на рынок новой продукции с зарубежными партнерами, а также поддержку предприятий в разработке продукции для зарубежных рынков</w:t>
      </w:r>
      <w:r w:rsidRPr="00C36631">
        <w:rPr>
          <w:rFonts w:ascii="Times New Roman" w:eastAsia="Calibri" w:hAnsi="Times New Roman" w:cs="Times New Roman"/>
          <w:sz w:val="28"/>
          <w:szCs w:val="28"/>
        </w:rPr>
        <w:t>.</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D22405">
        <w:rPr>
          <w:rFonts w:ascii="Times New Roman" w:eastAsia="Calibri" w:hAnsi="Times New Roman" w:cs="Times New Roman"/>
          <w:sz w:val="28"/>
          <w:szCs w:val="28"/>
        </w:rPr>
        <w:t>Согласно Федеральному закону от 24 июля 2007 года № 209-ФЗ юридические лица, отнесенные к малым предприятиям, могут участвовать в конкурсах по программе при условии, что они</w:t>
      </w:r>
      <w:r w:rsidRPr="00C36631">
        <w:rPr>
          <w:rFonts w:ascii="Times New Roman" w:eastAsia="Calibri" w:hAnsi="Times New Roman" w:cs="Times New Roman"/>
          <w:sz w:val="28"/>
          <w:szCs w:val="28"/>
        </w:rPr>
        <w:t>:</w:t>
      </w:r>
    </w:p>
    <w:p w:rsidR="001B6DE2" w:rsidRPr="00C36631" w:rsidRDefault="001B6DE2" w:rsidP="001B6DE2">
      <w:pPr>
        <w:numPr>
          <w:ilvl w:val="0"/>
          <w:numId w:val="12"/>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не имею</w:t>
      </w:r>
      <w:r>
        <w:rPr>
          <w:rFonts w:ascii="Times New Roman" w:eastAsia="Calibri" w:hAnsi="Times New Roman" w:cs="Times New Roman"/>
          <w:sz w:val="28"/>
          <w:szCs w:val="28"/>
        </w:rPr>
        <w:t>т</w:t>
      </w:r>
      <w:r w:rsidRPr="00C36631">
        <w:rPr>
          <w:rFonts w:ascii="Times New Roman" w:eastAsia="Calibri" w:hAnsi="Times New Roman" w:cs="Times New Roman"/>
          <w:sz w:val="28"/>
          <w:szCs w:val="28"/>
        </w:rPr>
        <w:t xml:space="preserve"> незавершенных договоров с Фондом;</w:t>
      </w:r>
    </w:p>
    <w:p w:rsidR="001B6DE2" w:rsidRDefault="001B6DE2" w:rsidP="001B6DE2">
      <w:pPr>
        <w:numPr>
          <w:ilvl w:val="0"/>
          <w:numId w:val="12"/>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D22405">
        <w:rPr>
          <w:rFonts w:ascii="Times New Roman" w:eastAsia="Calibri" w:hAnsi="Times New Roman" w:cs="Times New Roman"/>
          <w:sz w:val="28"/>
          <w:szCs w:val="28"/>
        </w:rPr>
        <w:t>име</w:t>
      </w:r>
      <w:r>
        <w:rPr>
          <w:rFonts w:ascii="Times New Roman" w:eastAsia="Calibri" w:hAnsi="Times New Roman" w:cs="Times New Roman"/>
          <w:sz w:val="28"/>
          <w:szCs w:val="28"/>
        </w:rPr>
        <w:t>ют</w:t>
      </w:r>
      <w:r w:rsidRPr="00D22405">
        <w:rPr>
          <w:rFonts w:ascii="Times New Roman" w:eastAsia="Calibri" w:hAnsi="Times New Roman" w:cs="Times New Roman"/>
          <w:sz w:val="28"/>
          <w:szCs w:val="28"/>
        </w:rPr>
        <w:t xml:space="preserve"> опыт разработки и продвижения на рынок независимых высокотехнологичных продуктов</w:t>
      </w:r>
      <w:r>
        <w:rPr>
          <w:rFonts w:ascii="Times New Roman" w:eastAsia="Calibri" w:hAnsi="Times New Roman" w:cs="Times New Roman"/>
          <w:sz w:val="28"/>
          <w:szCs w:val="28"/>
        </w:rPr>
        <w:t>.</w:t>
      </w: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D22405">
        <w:rPr>
          <w:rFonts w:ascii="Times New Roman" w:eastAsia="Calibri" w:hAnsi="Times New Roman" w:cs="Times New Roman"/>
          <w:sz w:val="28"/>
          <w:szCs w:val="28"/>
        </w:rPr>
        <w:t>Приоритет отдается быстрорастущим компаниям, успешно создавшим высокотехнологичную продукцию, отвечающую потребностям рынка. Предприятия, участвующие в конкурсе на разработку экспортной продукции, должны иметь опыт зарубежных поставок.</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Варианты</w:t>
      </w:r>
      <w:r w:rsidRPr="00C36631">
        <w:rPr>
          <w:rFonts w:ascii="Times New Roman" w:eastAsia="Calibri" w:hAnsi="Times New Roman" w:cs="Times New Roman"/>
          <w:sz w:val="28"/>
          <w:szCs w:val="28"/>
        </w:rPr>
        <w:t xml:space="preserve"> поддержки:</w:t>
      </w:r>
    </w:p>
    <w:p w:rsidR="001B6DE2" w:rsidRPr="00C36631" w:rsidRDefault="001B6DE2" w:rsidP="001B6DE2">
      <w:pPr>
        <w:numPr>
          <w:ilvl w:val="0"/>
          <w:numId w:val="13"/>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сумма финансирования не превышает тридцати миллионов рублей.</w:t>
      </w:r>
    </w:p>
    <w:p w:rsidR="001B6DE2" w:rsidRPr="00C36631" w:rsidRDefault="001B6DE2" w:rsidP="001B6DE2">
      <w:pPr>
        <w:numPr>
          <w:ilvl w:val="0"/>
          <w:numId w:val="13"/>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срок </w:t>
      </w:r>
      <w:r>
        <w:rPr>
          <w:rFonts w:ascii="Times New Roman" w:eastAsia="Calibri" w:hAnsi="Times New Roman" w:cs="Times New Roman"/>
          <w:sz w:val="28"/>
          <w:szCs w:val="28"/>
        </w:rPr>
        <w:t>финансирования</w:t>
      </w:r>
      <w:r w:rsidRPr="00C36631">
        <w:rPr>
          <w:rFonts w:ascii="Times New Roman" w:eastAsia="Calibri" w:hAnsi="Times New Roman" w:cs="Times New Roman"/>
          <w:sz w:val="28"/>
          <w:szCs w:val="28"/>
        </w:rPr>
        <w:t xml:space="preserve"> не более 24 месяцев (срок варьируется от 18 до 24 месяцев в зависимости от </w:t>
      </w:r>
      <w:r>
        <w:rPr>
          <w:rFonts w:ascii="Times New Roman" w:eastAsia="Calibri" w:hAnsi="Times New Roman" w:cs="Times New Roman"/>
          <w:sz w:val="28"/>
          <w:szCs w:val="28"/>
        </w:rPr>
        <w:t>программы</w:t>
      </w:r>
      <w:r w:rsidRPr="00C36631">
        <w:rPr>
          <w:rFonts w:ascii="Times New Roman" w:eastAsia="Calibri" w:hAnsi="Times New Roman" w:cs="Times New Roman"/>
          <w:sz w:val="28"/>
          <w:szCs w:val="28"/>
        </w:rPr>
        <w:t>);</w:t>
      </w:r>
    </w:p>
    <w:p w:rsidR="001B6DE2" w:rsidRPr="00C36631" w:rsidRDefault="001B6DE2" w:rsidP="001B6DE2">
      <w:pPr>
        <w:numPr>
          <w:ilvl w:val="0"/>
          <w:numId w:val="13"/>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внебюджетное софинансирование (</w:t>
      </w:r>
      <w:r w:rsidRPr="00D22405">
        <w:rPr>
          <w:rFonts w:ascii="Times New Roman" w:eastAsia="Calibri" w:hAnsi="Times New Roman" w:cs="Times New Roman"/>
          <w:sz w:val="28"/>
          <w:szCs w:val="28"/>
        </w:rPr>
        <w:t>за счет собственных средств или средств инвесторо</w:t>
      </w:r>
      <w:r>
        <w:rPr>
          <w:rFonts w:ascii="Times New Roman" w:eastAsia="Calibri" w:hAnsi="Times New Roman" w:cs="Times New Roman"/>
          <w:sz w:val="28"/>
          <w:szCs w:val="28"/>
        </w:rPr>
        <w:t>в</w:t>
      </w:r>
      <w:r w:rsidRPr="00C36631">
        <w:rPr>
          <w:rFonts w:ascii="Times New Roman" w:eastAsia="Calibri" w:hAnsi="Times New Roman" w:cs="Times New Roman"/>
          <w:sz w:val="28"/>
          <w:szCs w:val="28"/>
        </w:rPr>
        <w:t xml:space="preserve">) – не менее </w:t>
      </w:r>
      <w:r>
        <w:rPr>
          <w:rFonts w:ascii="Times New Roman" w:eastAsia="Calibri" w:hAnsi="Times New Roman" w:cs="Times New Roman"/>
          <w:sz w:val="28"/>
          <w:szCs w:val="28"/>
        </w:rPr>
        <w:t xml:space="preserve">пятнадцати процентов </w:t>
      </w:r>
      <w:r w:rsidRPr="00C36631">
        <w:rPr>
          <w:rFonts w:ascii="Times New Roman" w:eastAsia="Calibri" w:hAnsi="Times New Roman" w:cs="Times New Roman"/>
          <w:sz w:val="28"/>
          <w:szCs w:val="28"/>
        </w:rPr>
        <w:t>от суммы гранта;</w:t>
      </w:r>
    </w:p>
    <w:p w:rsidR="001B6DE2" w:rsidRPr="00C36631" w:rsidRDefault="001B6DE2" w:rsidP="001B6DE2">
      <w:pPr>
        <w:numPr>
          <w:ilvl w:val="0"/>
          <w:numId w:val="13"/>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расходы направлены на исследования и разработки</w:t>
      </w:r>
      <w:r w:rsidRPr="00C36631">
        <w:rPr>
          <w:rFonts w:ascii="Times New Roman" w:eastAsia="Calibri" w:hAnsi="Times New Roman" w:cs="Times New Roman"/>
          <w:sz w:val="28"/>
          <w:szCs w:val="28"/>
        </w:rPr>
        <w:t>.</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В 2024 году был анонсирован новый конкурс под названием "Старт-взлет", инициированный Фондом Содействия Инновациям. Эта инициатива призвана стимулировать прогрессивные стартапы, чьи разработки находят широкое применение в различных отраслях, включая, но не ограничиваясь, медициной, химией, энергетикой и агропромышленным сектором. Выдающиеся проекты будут вознаграждены грантами на сумму до 3 миллионов рублей. Призы предназначены для профессионалов, чья работа отвечает критериям категорий, таких как цифровые технологии, медицинские </w:t>
      </w:r>
      <w:r w:rsidRPr="00C36631">
        <w:rPr>
          <w:rFonts w:ascii="Times New Roman" w:eastAsia="Calibri" w:hAnsi="Times New Roman" w:cs="Times New Roman"/>
          <w:sz w:val="28"/>
          <w:szCs w:val="28"/>
        </w:rPr>
        <w:lastRenderedPageBreak/>
        <w:t>технологии, новые материалы, а также энергосберегающие и биотехнологии. Кроме того, организаторы планируют проведение исследований, чтобы определить практическую реализуемость идей и их рыночную акт</w:t>
      </w:r>
      <w:r>
        <w:rPr>
          <w:rFonts w:ascii="Times New Roman" w:eastAsia="Calibri" w:hAnsi="Times New Roman" w:cs="Times New Roman"/>
          <w:sz w:val="28"/>
          <w:szCs w:val="28"/>
        </w:rPr>
        <w:t>уальность </w:t>
      </w:r>
      <w:r w:rsidRPr="00C36631">
        <w:rPr>
          <w:rFonts w:ascii="Times New Roman" w:eastAsia="Calibri" w:hAnsi="Times New Roman" w:cs="Times New Roman"/>
          <w:sz w:val="28"/>
          <w:szCs w:val="28"/>
        </w:rPr>
        <w:t>[81].</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Отдельное внимание заслуживает поддержка Ростовской области Фондом Содействия Инновациям. За 2022 год фонд выделил гранты на общую сумму 495,5 миллиона рублей. Эти средства способствовали реализации 169 инновационных проектов, как сообщает пресс-служба правительства региона. В тот же год рамки подачи заявок достигли объема в 3 миллиарда рублей, среди которых были отобраны наиболее перспективные проекты.</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Данные, предоставленные РБК Ростов, свидетельствуют о значимом прогрессе в инновационной активности региона. За пять последних лет наблюдался рост выпуска инновационной продукции на 35%, при этом внутренние затраты на научные исследования и разработки увеличились на 9%. Оказывается, что 43% предприятий в регионе занимаются инновациями, и среди малого бизнеса этот показатель составляет 9% [89].</w:t>
      </w:r>
    </w:p>
    <w:p w:rsidR="001B6DE2" w:rsidRPr="00C36631"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Обратим внимание на значимость налоговой политики для стимулирования инновационной активности компаний. Сущность такой поддержки заключается в организации благоприятного фискального пространства, которое стимулирует не только появление спроса на новшества, но и становится толчком для технического обновления и инвестирования в разработку передовых технологий.</w:t>
      </w:r>
    </w:p>
    <w:p w:rsidR="001B6DE2" w:rsidRPr="00C36631"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Одновременно крайне важно, чтобы налоговая система не становилась камнем преткновения для предприятий, стремящихся к инновационному росту. Иными словами, предпринимателей, которые активно внедряют в свои производства новейшие достижения науки и техники, улучшая тем самым качество работы и производительность, следует стремиться не обременять излишними налоговыми барьерами.</w:t>
      </w:r>
    </w:p>
    <w:p w:rsidR="001B6DE2" w:rsidRPr="00C36631"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В дополнение к вышесказанному, для наглядности пример роли налоговых льгот в инновационном развитии можно увидеть на иллюстрации </w:t>
      </w:r>
      <w:r w:rsidRPr="00C36631">
        <w:rPr>
          <w:rFonts w:ascii="Times New Roman" w:eastAsia="Calibri" w:hAnsi="Times New Roman" w:cs="Times New Roman"/>
          <w:sz w:val="28"/>
          <w:szCs w:val="28"/>
        </w:rPr>
        <w:lastRenderedPageBreak/>
        <w:t>под номером 4. Здесь демонстрируются различные виды налоговых стимулов, которые могут быть предоставлены предприятиям, активно занимающимся инновациями. Это не только подтверждает возможности государства влиять на инновационную активность через налоговую политику, но и конкретизирует инструментарий, доступный для содействия прогрессу.</w:t>
      </w:r>
    </w:p>
    <w:p w:rsidR="001B6DE2" w:rsidRPr="00C36631"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jc w:val="center"/>
        <w:rPr>
          <w:rFonts w:ascii="Times New Roman" w:eastAsia="Calibri" w:hAnsi="Times New Roman" w:cs="Times New Roman"/>
          <w:sz w:val="28"/>
          <w:szCs w:val="28"/>
        </w:rPr>
      </w:pPr>
      <w:r w:rsidRPr="00C36631">
        <w:rPr>
          <w:rFonts w:ascii="Times New Roman" w:eastAsia="Calibri" w:hAnsi="Times New Roman" w:cs="Times New Roman"/>
          <w:noProof/>
          <w:sz w:val="28"/>
          <w:szCs w:val="28"/>
          <w:lang w:eastAsia="ru-RU"/>
        </w:rPr>
        <w:drawing>
          <wp:inline distT="0" distB="0" distL="0" distR="0" wp14:anchorId="0640311B" wp14:editId="67A88CCF">
            <wp:extent cx="5142015" cy="1462804"/>
            <wp:effectExtent l="0" t="0" r="1905" b="4445"/>
            <wp:docPr id="9" name="Рисунок 9" descr="Изображение выглядит как текст, линия, диаграмм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линия, диаграмма, Шрифт&#10;&#10;Автоматически созданное описание"/>
                    <pic:cNvPicPr/>
                  </pic:nvPicPr>
                  <pic:blipFill>
                    <a:blip r:embed="rId8"/>
                    <a:stretch>
                      <a:fillRect/>
                    </a:stretch>
                  </pic:blipFill>
                  <pic:spPr>
                    <a:xfrm>
                      <a:off x="0" y="0"/>
                      <a:ext cx="5603951" cy="1594216"/>
                    </a:xfrm>
                    <a:prstGeom prst="rect">
                      <a:avLst/>
                    </a:prstGeom>
                  </pic:spPr>
                </pic:pic>
              </a:graphicData>
            </a:graphic>
          </wp:inline>
        </w:drawing>
      </w:r>
    </w:p>
    <w:p w:rsidR="001B6DE2" w:rsidRPr="00C36631" w:rsidRDefault="001B6DE2" w:rsidP="001B6DE2">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C36631">
        <w:rPr>
          <w:rFonts w:ascii="Times New Roman" w:eastAsia="Calibri" w:hAnsi="Times New Roman" w:cs="Times New Roman"/>
          <w:sz w:val="28"/>
          <w:szCs w:val="28"/>
        </w:rPr>
        <w:t>Рисунок 4 – Формы налоговых привилегий для инновационных предприятий [45]</w:t>
      </w:r>
    </w:p>
    <w:p w:rsidR="001B6DE2" w:rsidRPr="00C36631" w:rsidRDefault="001B6DE2" w:rsidP="001B6DE2">
      <w:pPr>
        <w:autoSpaceDE w:val="0"/>
        <w:autoSpaceDN w:val="0"/>
        <w:adjustRightInd w:val="0"/>
        <w:spacing w:after="0" w:line="360" w:lineRule="auto"/>
        <w:ind w:firstLine="567"/>
        <w:jc w:val="center"/>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В последние годы российская налоговая система прошла через значительные изменения с целью стимулирования инновационной активности. Законодательство было обогащено множеством налоговых льгот и стимулов, призванных поддержать технологическое развитие и рост экономики.</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Основы налоговой поддержки инноваций в России представляют собой меры, включающие в себя разнообразные налоговые каникулы, льготы по НДС и прибыли, а также дополнительные возможности для амортизации и компенсации затрат на исследования и разработки. Эти меры нацелены на то, чтобы создать благоприятную среду для инновационных компаний и стартапов, а также для крупных предприятий, инвестирующих в научные разработки и новые технологии. </w:t>
      </w:r>
      <w:r>
        <w:rPr>
          <w:rFonts w:ascii="Times New Roman" w:eastAsia="Calibri" w:hAnsi="Times New Roman" w:cs="Times New Roman"/>
          <w:sz w:val="28"/>
          <w:szCs w:val="28"/>
        </w:rPr>
        <w:t xml:space="preserve">Далее </w:t>
      </w:r>
      <w:r w:rsidRPr="00D22405">
        <w:rPr>
          <w:rFonts w:ascii="Times New Roman" w:eastAsia="Calibri" w:hAnsi="Times New Roman" w:cs="Times New Roman"/>
          <w:sz w:val="28"/>
          <w:szCs w:val="28"/>
        </w:rPr>
        <w:t>приведены некоторые меры поддержки, принятые за последние годы:</w:t>
      </w:r>
    </w:p>
    <w:p w:rsidR="001B6DE2" w:rsidRPr="00C36631" w:rsidRDefault="001B6DE2" w:rsidP="001B6DE2">
      <w:pPr>
        <w:numPr>
          <w:ilvl w:val="0"/>
          <w:numId w:val="16"/>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D22405">
        <w:rPr>
          <w:rFonts w:ascii="Times New Roman" w:eastAsia="Calibri" w:hAnsi="Times New Roman" w:cs="Times New Roman"/>
          <w:sz w:val="28"/>
          <w:szCs w:val="28"/>
        </w:rPr>
        <w:t xml:space="preserve">срок вычета расходов на НИОКР при определении базы налога на прибыль организаций сокращен до одного года </w:t>
      </w:r>
      <w:r w:rsidRPr="00C36631">
        <w:rPr>
          <w:rFonts w:ascii="Times New Roman" w:eastAsia="Calibri" w:hAnsi="Times New Roman" w:cs="Times New Roman"/>
          <w:sz w:val="28"/>
          <w:szCs w:val="28"/>
        </w:rPr>
        <w:t>[50];</w:t>
      </w:r>
    </w:p>
    <w:p w:rsidR="001B6DE2" w:rsidRPr="00C36631" w:rsidRDefault="001B6DE2" w:rsidP="001B6DE2">
      <w:pPr>
        <w:numPr>
          <w:ilvl w:val="0"/>
          <w:numId w:val="16"/>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D22405">
        <w:rPr>
          <w:rFonts w:ascii="Times New Roman" w:eastAsia="Calibri" w:hAnsi="Times New Roman" w:cs="Times New Roman"/>
          <w:sz w:val="28"/>
          <w:szCs w:val="28"/>
        </w:rPr>
        <w:lastRenderedPageBreak/>
        <w:t xml:space="preserve">Сняты ограничения на списание расходов на НИОКР, не приносящие положительных результатов. Ранее расходы на НИОКР, не приносившие результата, не приводили к уменьшению базы налога на прибыль организаций </w:t>
      </w:r>
      <w:r w:rsidRPr="00C36631">
        <w:rPr>
          <w:rFonts w:ascii="Times New Roman" w:eastAsia="Calibri" w:hAnsi="Times New Roman" w:cs="Times New Roman"/>
          <w:sz w:val="28"/>
          <w:szCs w:val="28"/>
        </w:rPr>
        <w:t>[50];</w:t>
      </w:r>
    </w:p>
    <w:p w:rsidR="001B6DE2" w:rsidRPr="00C36631" w:rsidRDefault="001B6DE2" w:rsidP="001B6DE2">
      <w:pPr>
        <w:numPr>
          <w:ilvl w:val="0"/>
          <w:numId w:val="16"/>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D22405">
        <w:rPr>
          <w:rFonts w:ascii="Times New Roman" w:eastAsia="Calibri" w:hAnsi="Times New Roman" w:cs="Times New Roman"/>
          <w:sz w:val="28"/>
          <w:szCs w:val="28"/>
        </w:rPr>
        <w:t xml:space="preserve">порог расходов на НИОКР, оплачиваемых за счет средств Российского фонда развития технологий и других промышленных фондов, повышен до </w:t>
      </w:r>
      <w:r>
        <w:rPr>
          <w:rFonts w:ascii="Times New Roman" w:eastAsia="Calibri" w:hAnsi="Times New Roman" w:cs="Times New Roman"/>
          <w:sz w:val="28"/>
          <w:szCs w:val="28"/>
        </w:rPr>
        <w:t>полутора процентов</w:t>
      </w:r>
      <w:r w:rsidRPr="00D22405">
        <w:rPr>
          <w:rFonts w:ascii="Times New Roman" w:eastAsia="Calibri" w:hAnsi="Times New Roman" w:cs="Times New Roman"/>
          <w:sz w:val="28"/>
          <w:szCs w:val="28"/>
        </w:rPr>
        <w:t xml:space="preserve"> от доходов (в три раза больше прежнего размера) </w:t>
      </w:r>
      <w:r w:rsidRPr="00C36631">
        <w:rPr>
          <w:rFonts w:ascii="Times New Roman" w:eastAsia="Calibri" w:hAnsi="Times New Roman" w:cs="Times New Roman"/>
          <w:sz w:val="28"/>
          <w:szCs w:val="28"/>
        </w:rPr>
        <w:t>[51];</w:t>
      </w:r>
    </w:p>
    <w:p w:rsidR="001B6DE2" w:rsidRPr="00C36631" w:rsidRDefault="001B6DE2" w:rsidP="001B6DE2">
      <w:pPr>
        <w:numPr>
          <w:ilvl w:val="0"/>
          <w:numId w:val="16"/>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D22405">
        <w:rPr>
          <w:rFonts w:ascii="Times New Roman" w:eastAsia="Calibri" w:hAnsi="Times New Roman" w:cs="Times New Roman"/>
          <w:sz w:val="28"/>
          <w:szCs w:val="28"/>
        </w:rPr>
        <w:t xml:space="preserve">постоянно расширяется покрытие расходов за счет введения мультипликатора, позволяющего включать расходы на НИОКР в расходы по налогу на прибыль организаций в размере, в </w:t>
      </w:r>
      <w:r>
        <w:rPr>
          <w:rFonts w:ascii="Times New Roman" w:eastAsia="Calibri" w:hAnsi="Times New Roman" w:cs="Times New Roman"/>
          <w:sz w:val="28"/>
          <w:szCs w:val="28"/>
        </w:rPr>
        <w:t xml:space="preserve">полтора </w:t>
      </w:r>
      <w:r w:rsidRPr="00D22405">
        <w:rPr>
          <w:rFonts w:ascii="Times New Roman" w:eastAsia="Calibri" w:hAnsi="Times New Roman" w:cs="Times New Roman"/>
          <w:sz w:val="28"/>
          <w:szCs w:val="28"/>
        </w:rPr>
        <w:t>раза,</w:t>
      </w:r>
      <w:r>
        <w:rPr>
          <w:rFonts w:ascii="Times New Roman" w:eastAsia="Calibri" w:hAnsi="Times New Roman" w:cs="Times New Roman"/>
          <w:sz w:val="28"/>
          <w:szCs w:val="28"/>
        </w:rPr>
        <w:t xml:space="preserve"> </w:t>
      </w:r>
      <w:r w:rsidRPr="00D22405">
        <w:rPr>
          <w:rFonts w:ascii="Times New Roman" w:eastAsia="Calibri" w:hAnsi="Times New Roman" w:cs="Times New Roman"/>
          <w:sz w:val="28"/>
          <w:szCs w:val="28"/>
        </w:rPr>
        <w:t xml:space="preserve">превышающего фактически понесенные расходы, и утверждения перечня из более чем 120 направлений научных исследований; уровень принятия высок </w:t>
      </w:r>
      <w:r w:rsidRPr="00C36631">
        <w:rPr>
          <w:rFonts w:ascii="Times New Roman" w:eastAsia="Calibri" w:hAnsi="Times New Roman" w:cs="Times New Roman"/>
          <w:sz w:val="28"/>
          <w:szCs w:val="28"/>
        </w:rPr>
        <w:t>[47];</w:t>
      </w:r>
    </w:p>
    <w:p w:rsidR="001B6DE2" w:rsidRPr="00C36631" w:rsidRDefault="001B6DE2" w:rsidP="001B6DE2">
      <w:pPr>
        <w:numPr>
          <w:ilvl w:val="0"/>
          <w:numId w:val="16"/>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D22405">
        <w:rPr>
          <w:rFonts w:ascii="Times New Roman" w:eastAsia="Calibri" w:hAnsi="Times New Roman" w:cs="Times New Roman"/>
          <w:sz w:val="28"/>
          <w:szCs w:val="28"/>
        </w:rPr>
        <w:t xml:space="preserve">использование «амортизационного бонуса» позволяет проводить ускоренную амортизацию основных средств – до </w:t>
      </w:r>
      <w:r>
        <w:rPr>
          <w:rFonts w:ascii="Times New Roman" w:eastAsia="Calibri" w:hAnsi="Times New Roman" w:cs="Times New Roman"/>
          <w:sz w:val="28"/>
          <w:szCs w:val="28"/>
        </w:rPr>
        <w:t>десяти процентов</w:t>
      </w:r>
      <w:r w:rsidRPr="00D22405">
        <w:rPr>
          <w:rFonts w:ascii="Times New Roman" w:eastAsia="Calibri" w:hAnsi="Times New Roman" w:cs="Times New Roman"/>
          <w:sz w:val="28"/>
          <w:szCs w:val="28"/>
        </w:rPr>
        <w:t xml:space="preserve"> первоначальной стоимости основного средства может быть списано сразу </w:t>
      </w:r>
      <w:r w:rsidRPr="00C36631">
        <w:rPr>
          <w:rFonts w:ascii="Times New Roman" w:eastAsia="Calibri" w:hAnsi="Times New Roman" w:cs="Times New Roman"/>
          <w:sz w:val="28"/>
          <w:szCs w:val="28"/>
        </w:rPr>
        <w:t>[51];</w:t>
      </w:r>
    </w:p>
    <w:p w:rsidR="001B6DE2" w:rsidRPr="00C36631" w:rsidRDefault="001B6DE2" w:rsidP="001B6DE2">
      <w:pPr>
        <w:numPr>
          <w:ilvl w:val="0"/>
          <w:numId w:val="16"/>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D22405">
        <w:rPr>
          <w:rFonts w:ascii="Times New Roman" w:eastAsia="Calibri" w:hAnsi="Times New Roman" w:cs="Times New Roman"/>
          <w:sz w:val="28"/>
          <w:szCs w:val="28"/>
        </w:rPr>
        <w:t xml:space="preserve">предусмотрена возможность применения нелинейного (ускоренного) метода амортизации, позволяющего </w:t>
      </w:r>
      <w:r>
        <w:rPr>
          <w:rFonts w:ascii="Times New Roman" w:eastAsia="Calibri" w:hAnsi="Times New Roman" w:cs="Times New Roman"/>
          <w:sz w:val="28"/>
          <w:szCs w:val="28"/>
        </w:rPr>
        <w:t xml:space="preserve">пятьдесят процентов </w:t>
      </w:r>
      <w:r w:rsidRPr="00D22405">
        <w:rPr>
          <w:rFonts w:ascii="Times New Roman" w:eastAsia="Calibri" w:hAnsi="Times New Roman" w:cs="Times New Roman"/>
          <w:sz w:val="28"/>
          <w:szCs w:val="28"/>
        </w:rPr>
        <w:t xml:space="preserve">первоначальной стоимости основного средства отнести на расходы в первом квартале срока его полезного использования </w:t>
      </w:r>
      <w:r w:rsidRPr="00C36631">
        <w:rPr>
          <w:rFonts w:ascii="Times New Roman" w:eastAsia="Calibri" w:hAnsi="Times New Roman" w:cs="Times New Roman"/>
          <w:sz w:val="28"/>
          <w:szCs w:val="28"/>
        </w:rPr>
        <w:t>[51];</w:t>
      </w:r>
    </w:p>
    <w:p w:rsidR="001B6DE2" w:rsidRPr="00C36631" w:rsidRDefault="001B6DE2" w:rsidP="001B6DE2">
      <w:pPr>
        <w:numPr>
          <w:ilvl w:val="0"/>
          <w:numId w:val="16"/>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D22405">
        <w:rPr>
          <w:rFonts w:ascii="Times New Roman" w:eastAsia="Calibri" w:hAnsi="Times New Roman" w:cs="Times New Roman"/>
          <w:sz w:val="28"/>
          <w:szCs w:val="28"/>
        </w:rPr>
        <w:t>азрешение организациям, на которых распространяется общий и специальный налоговый режим, переносить убытки</w:t>
      </w:r>
      <w:r w:rsidRPr="00C36631">
        <w:rPr>
          <w:rFonts w:ascii="Times New Roman" w:eastAsia="Calibri" w:hAnsi="Times New Roman" w:cs="Times New Roman"/>
          <w:sz w:val="28"/>
          <w:szCs w:val="28"/>
        </w:rPr>
        <w:t>;</w:t>
      </w:r>
    </w:p>
    <w:p w:rsidR="001B6DE2" w:rsidRPr="00C36631" w:rsidRDefault="001B6DE2" w:rsidP="001B6DE2">
      <w:pPr>
        <w:numPr>
          <w:ilvl w:val="0"/>
          <w:numId w:val="16"/>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D22405">
        <w:rPr>
          <w:rFonts w:ascii="Times New Roman" w:eastAsia="Calibri" w:hAnsi="Times New Roman" w:cs="Times New Roman"/>
          <w:sz w:val="28"/>
          <w:szCs w:val="28"/>
        </w:rPr>
        <w:t xml:space="preserve">возможность претендовать на получение инвестиционных налоговых кредитов, в том числе при проведении исследований и разработок, технологических преобразований, внедренческой или инновационной деятельности </w:t>
      </w:r>
      <w:r w:rsidRPr="00C36631">
        <w:rPr>
          <w:rFonts w:ascii="Times New Roman" w:eastAsia="Calibri" w:hAnsi="Times New Roman" w:cs="Times New Roman"/>
          <w:sz w:val="28"/>
          <w:szCs w:val="28"/>
        </w:rPr>
        <w:t>[55];</w:t>
      </w:r>
    </w:p>
    <w:p w:rsidR="001B6DE2" w:rsidRPr="00C36631" w:rsidRDefault="001B6DE2" w:rsidP="001B6DE2">
      <w:pPr>
        <w:numPr>
          <w:ilvl w:val="0"/>
          <w:numId w:val="16"/>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D22405">
        <w:rPr>
          <w:rFonts w:ascii="Times New Roman" w:eastAsia="Calibri" w:hAnsi="Times New Roman" w:cs="Times New Roman"/>
          <w:sz w:val="28"/>
          <w:szCs w:val="28"/>
        </w:rPr>
        <w:t>освобождение от НДС при передаче исключительных прав и прав, основанных на лицензионных договорах, на изобретения, промышле</w:t>
      </w:r>
      <w:r>
        <w:rPr>
          <w:rFonts w:ascii="Times New Roman" w:eastAsia="Calibri" w:hAnsi="Times New Roman" w:cs="Times New Roman"/>
          <w:sz w:val="28"/>
          <w:szCs w:val="28"/>
        </w:rPr>
        <w:t>нные образцы, программы для ЭВМ</w:t>
      </w:r>
      <w:r w:rsidRPr="00C36631">
        <w:rPr>
          <w:rFonts w:ascii="Times New Roman" w:eastAsia="Calibri" w:hAnsi="Times New Roman" w:cs="Times New Roman"/>
          <w:sz w:val="28"/>
          <w:szCs w:val="28"/>
        </w:rPr>
        <w:t>[55];</w:t>
      </w:r>
    </w:p>
    <w:p w:rsidR="001B6DE2" w:rsidRPr="00C36631" w:rsidRDefault="001B6DE2" w:rsidP="001B6DE2">
      <w:pPr>
        <w:numPr>
          <w:ilvl w:val="0"/>
          <w:numId w:val="16"/>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w:t>
      </w:r>
      <w:r w:rsidRPr="00243A12">
        <w:rPr>
          <w:rFonts w:ascii="Times New Roman" w:eastAsia="Calibri" w:hAnsi="Times New Roman" w:cs="Times New Roman"/>
          <w:sz w:val="28"/>
          <w:szCs w:val="28"/>
        </w:rPr>
        <w:t>мпорт аналогичного технического оборудования, не производимого в Российской Федерации, освобождается от НДС и таможенных пошлин</w:t>
      </w:r>
      <w:r>
        <w:rPr>
          <w:rFonts w:ascii="Times New Roman" w:eastAsia="Calibri" w:hAnsi="Times New Roman" w:cs="Times New Roman"/>
          <w:sz w:val="28"/>
          <w:szCs w:val="28"/>
        </w:rPr>
        <w:t> </w:t>
      </w:r>
      <w:r w:rsidRPr="00C36631">
        <w:rPr>
          <w:rFonts w:ascii="Times New Roman" w:eastAsia="Calibri" w:hAnsi="Times New Roman" w:cs="Times New Roman"/>
          <w:sz w:val="28"/>
          <w:szCs w:val="28"/>
        </w:rPr>
        <w:t>[51].</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Также резиденты «Сколково» на ОСНО, имеют право получить освобождение от уплаты НДС и налога на прибыль. При этом они также могут параллельно получить аккредитацию в Минцифры. По итогу компания освободится и от уплаты НДС, и налога на прибыль, и страховые взносы заплатит по пониженным ставкам 7,6% или применить ставку «Сколково» для взносов на сотрудников </w:t>
      </w:r>
      <w:r>
        <w:rPr>
          <w:rFonts w:ascii="Times New Roman" w:eastAsia="Calibri" w:hAnsi="Times New Roman" w:cs="Times New Roman"/>
          <w:sz w:val="28"/>
          <w:szCs w:val="28"/>
        </w:rPr>
        <w:t>в четырнадцать процентов</w:t>
      </w:r>
      <w:r w:rsidRPr="00C36631">
        <w:rPr>
          <w:rFonts w:ascii="Times New Roman" w:eastAsia="Calibri" w:hAnsi="Times New Roman" w:cs="Times New Roman"/>
          <w:sz w:val="28"/>
          <w:szCs w:val="28"/>
        </w:rPr>
        <w:t xml:space="preserve"> [38].</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243A12">
        <w:rPr>
          <w:rFonts w:ascii="Times New Roman" w:eastAsia="Calibri" w:hAnsi="Times New Roman" w:cs="Times New Roman"/>
          <w:sz w:val="28"/>
          <w:szCs w:val="28"/>
        </w:rPr>
        <w:t xml:space="preserve">В 2022 году ставка корпоративного подоходного налога для резидентов скорректирована с </w:t>
      </w:r>
      <w:r>
        <w:rPr>
          <w:rFonts w:ascii="Times New Roman" w:eastAsia="Calibri" w:hAnsi="Times New Roman" w:cs="Times New Roman"/>
          <w:sz w:val="28"/>
          <w:szCs w:val="28"/>
        </w:rPr>
        <w:t>шестнадцати процентов до двадцати</w:t>
      </w:r>
      <w:r w:rsidRPr="00243A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процентов </w:t>
      </w:r>
      <w:r w:rsidRPr="00C36631">
        <w:rPr>
          <w:rFonts w:ascii="Times New Roman" w:eastAsia="Calibri" w:hAnsi="Times New Roman" w:cs="Times New Roman"/>
          <w:sz w:val="28"/>
          <w:szCs w:val="28"/>
        </w:rPr>
        <w:t>и управляющих компаний индустриальных (промышленных парков), технопарков в сфере высоких технологий. Ставка по налогу на имущество для организаций-резидентов - 1,1% [35].</w:t>
      </w: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Говоря об инструментах стимулирования инновационного бизнеса стоит рассмотреть специальный инвестиционный контракт (СПИК) — это </w:t>
      </w:r>
      <w:r w:rsidRPr="00243A12">
        <w:rPr>
          <w:rFonts w:ascii="Times New Roman" w:eastAsia="Calibri" w:hAnsi="Times New Roman" w:cs="Times New Roman"/>
          <w:sz w:val="28"/>
          <w:szCs w:val="28"/>
        </w:rPr>
        <w:t>нструмент промышленной политики, призванный стимулировать инвестиции в промышленное производство Ро</w:t>
      </w:r>
      <w:r>
        <w:rPr>
          <w:rFonts w:ascii="Times New Roman" w:eastAsia="Calibri" w:hAnsi="Times New Roman" w:cs="Times New Roman"/>
          <w:sz w:val="28"/>
          <w:szCs w:val="28"/>
        </w:rPr>
        <w:t>ссийской Федерации</w:t>
      </w:r>
      <w:r w:rsidRPr="00C36631">
        <w:rPr>
          <w:rFonts w:ascii="Times New Roman" w:eastAsia="Calibri" w:hAnsi="Times New Roman" w:cs="Times New Roman"/>
          <w:sz w:val="28"/>
          <w:szCs w:val="28"/>
        </w:rPr>
        <w:t xml:space="preserve"> [82]. </w:t>
      </w: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243A12">
        <w:rPr>
          <w:rFonts w:ascii="Times New Roman" w:eastAsia="Calibri" w:hAnsi="Times New Roman" w:cs="Times New Roman"/>
          <w:sz w:val="28"/>
          <w:szCs w:val="28"/>
        </w:rPr>
        <w:t>Инвестор подписывает соглашение с государством, в котором закрепляются обязательства инвестора по реализации инвестиционного проекта, а также обязательства государства по обеспечению стабильных условий ведения бизнеса и предоставлению мер государственной поддержки.</w:t>
      </w: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Механизм представлен в двух вариантах [82]</w:t>
      </w:r>
      <w:r>
        <w:rPr>
          <w:rFonts w:ascii="Times New Roman" w:eastAsia="Calibri" w:hAnsi="Times New Roman" w:cs="Times New Roman"/>
          <w:sz w:val="28"/>
          <w:szCs w:val="28"/>
        </w:rPr>
        <w:t>:</w:t>
      </w:r>
    </w:p>
    <w:p w:rsidR="001B6DE2" w:rsidRPr="00243A1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243A12">
        <w:rPr>
          <w:rFonts w:ascii="Times New Roman" w:eastAsia="Calibri" w:hAnsi="Times New Roman" w:cs="Times New Roman"/>
          <w:sz w:val="28"/>
          <w:szCs w:val="28"/>
        </w:rPr>
        <w:t>Механизм СПИК 1.0 распространяется на инвестиционные проекты, создающие или модернизирующие и/или развивающие производство промышленной продукции</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243A12">
        <w:rPr>
          <w:rFonts w:ascii="Times New Roman" w:eastAsia="Calibri" w:hAnsi="Times New Roman" w:cs="Times New Roman"/>
          <w:sz w:val="28"/>
          <w:szCs w:val="28"/>
        </w:rPr>
        <w:t xml:space="preserve">Механизм СПИК 2.0 распространяется на инвестиционные проекты, внедряющие или разрабатывающие и внедряющие современные технологии из утвержденного перечня для развития крупномасштабного производства </w:t>
      </w:r>
      <w:r w:rsidRPr="00243A12">
        <w:rPr>
          <w:rFonts w:ascii="Times New Roman" w:eastAsia="Calibri" w:hAnsi="Times New Roman" w:cs="Times New Roman"/>
          <w:sz w:val="28"/>
          <w:szCs w:val="28"/>
        </w:rPr>
        <w:lastRenderedPageBreak/>
        <w:t>промышленной продукции на основе этих технологий.</w:t>
      </w:r>
      <w:r>
        <w:rPr>
          <w:rFonts w:ascii="Times New Roman" w:eastAsia="Calibri" w:hAnsi="Times New Roman" w:cs="Times New Roman"/>
          <w:sz w:val="28"/>
          <w:szCs w:val="28"/>
        </w:rPr>
        <w:t xml:space="preserve"> </w:t>
      </w:r>
      <w:r w:rsidRPr="00243A12">
        <w:rPr>
          <w:rFonts w:ascii="Times New Roman" w:eastAsia="Calibri" w:hAnsi="Times New Roman" w:cs="Times New Roman"/>
          <w:sz w:val="28"/>
          <w:szCs w:val="28"/>
        </w:rPr>
        <w:t>На рисунке 5 представлена сводная информация по механизму СПИК:</w:t>
      </w:r>
    </w:p>
    <w:p w:rsidR="001B6DE2" w:rsidRPr="00C36631" w:rsidRDefault="001B6DE2" w:rsidP="001B6DE2">
      <w:pPr>
        <w:spacing w:after="0" w:line="360" w:lineRule="auto"/>
        <w:jc w:val="center"/>
        <w:textAlignment w:val="baseline"/>
        <w:rPr>
          <w:rFonts w:ascii="Brutal Type" w:eastAsia="Times New Roman" w:hAnsi="Brutal Type" w:cs="Times New Roman"/>
          <w:spacing w:val="7"/>
          <w:sz w:val="27"/>
          <w:szCs w:val="27"/>
          <w:lang w:eastAsia="ru-RU"/>
        </w:rPr>
      </w:pPr>
      <w:r w:rsidRPr="00C36631">
        <w:rPr>
          <w:rFonts w:ascii="Brutal Type" w:eastAsia="Times New Roman" w:hAnsi="Brutal Type" w:cs="Times New Roman"/>
          <w:noProof/>
          <w:spacing w:val="7"/>
          <w:sz w:val="27"/>
          <w:szCs w:val="27"/>
          <w:lang w:eastAsia="ru-RU"/>
        </w:rPr>
        <w:drawing>
          <wp:inline distT="0" distB="0" distL="0" distR="0" wp14:anchorId="482EBD49" wp14:editId="44207C6D">
            <wp:extent cx="5648325" cy="568304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325" cy="5683048"/>
                    </a:xfrm>
                    <a:prstGeom prst="rect">
                      <a:avLst/>
                    </a:prstGeom>
                    <a:noFill/>
                    <a:ln>
                      <a:noFill/>
                    </a:ln>
                  </pic:spPr>
                </pic:pic>
              </a:graphicData>
            </a:graphic>
          </wp:inline>
        </w:drawing>
      </w:r>
    </w:p>
    <w:p w:rsidR="001B6DE2" w:rsidRPr="00C36631" w:rsidRDefault="001B6DE2" w:rsidP="001B6DE2">
      <w:pPr>
        <w:autoSpaceDE w:val="0"/>
        <w:autoSpaceDN w:val="0"/>
        <w:adjustRightInd w:val="0"/>
        <w:spacing w:after="0" w:line="360" w:lineRule="auto"/>
        <w:jc w:val="center"/>
        <w:rPr>
          <w:rFonts w:ascii="Times New Roman" w:eastAsia="Calibri" w:hAnsi="Times New Roman" w:cs="Times New Roman"/>
          <w:sz w:val="28"/>
          <w:szCs w:val="28"/>
        </w:rPr>
      </w:pPr>
      <w:r w:rsidRPr="00C36631">
        <w:rPr>
          <w:rFonts w:ascii="Times New Roman" w:eastAsia="Calibri" w:hAnsi="Times New Roman" w:cs="Times New Roman"/>
          <w:sz w:val="28"/>
          <w:szCs w:val="28"/>
        </w:rPr>
        <w:t>Рисунок 5 – Механизм СПИК 2.0 [82]</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К преимуществам СПИК для регионов можно отнести: </w:t>
      </w:r>
      <w:r>
        <w:rPr>
          <w:rFonts w:ascii="Times New Roman" w:eastAsia="Calibri" w:hAnsi="Times New Roman" w:cs="Times New Roman"/>
          <w:sz w:val="28"/>
          <w:szCs w:val="28"/>
        </w:rPr>
        <w:t>поиск</w:t>
      </w:r>
      <w:r w:rsidRPr="00243A12">
        <w:rPr>
          <w:rFonts w:ascii="Times New Roman" w:eastAsia="Calibri" w:hAnsi="Times New Roman" w:cs="Times New Roman"/>
          <w:sz w:val="28"/>
          <w:szCs w:val="28"/>
        </w:rPr>
        <w:t xml:space="preserve"> инвестици</w:t>
      </w:r>
      <w:r>
        <w:rPr>
          <w:rFonts w:ascii="Times New Roman" w:eastAsia="Calibri" w:hAnsi="Times New Roman" w:cs="Times New Roman"/>
          <w:sz w:val="28"/>
          <w:szCs w:val="28"/>
        </w:rPr>
        <w:t>й</w:t>
      </w:r>
      <w:r w:rsidRPr="00243A12">
        <w:rPr>
          <w:rFonts w:ascii="Times New Roman" w:eastAsia="Calibri" w:hAnsi="Times New Roman" w:cs="Times New Roman"/>
          <w:sz w:val="28"/>
          <w:szCs w:val="28"/>
        </w:rPr>
        <w:t>, созда</w:t>
      </w:r>
      <w:r>
        <w:rPr>
          <w:rFonts w:ascii="Times New Roman" w:eastAsia="Calibri" w:hAnsi="Times New Roman" w:cs="Times New Roman"/>
          <w:sz w:val="28"/>
          <w:szCs w:val="28"/>
        </w:rPr>
        <w:t>ние рабочих мест</w:t>
      </w:r>
      <w:r w:rsidRPr="00243A12">
        <w:rPr>
          <w:rFonts w:ascii="Times New Roman" w:eastAsia="Calibri" w:hAnsi="Times New Roman" w:cs="Times New Roman"/>
          <w:sz w:val="28"/>
          <w:szCs w:val="28"/>
        </w:rPr>
        <w:t>, увелич</w:t>
      </w:r>
      <w:r>
        <w:rPr>
          <w:rFonts w:ascii="Times New Roman" w:eastAsia="Calibri" w:hAnsi="Times New Roman" w:cs="Times New Roman"/>
          <w:sz w:val="28"/>
          <w:szCs w:val="28"/>
        </w:rPr>
        <w:t>ение</w:t>
      </w:r>
      <w:r w:rsidRPr="00243A12">
        <w:rPr>
          <w:rFonts w:ascii="Times New Roman" w:eastAsia="Calibri" w:hAnsi="Times New Roman" w:cs="Times New Roman"/>
          <w:sz w:val="28"/>
          <w:szCs w:val="28"/>
        </w:rPr>
        <w:t xml:space="preserve"> организационн</w:t>
      </w:r>
      <w:r>
        <w:rPr>
          <w:rFonts w:ascii="Times New Roman" w:eastAsia="Calibri" w:hAnsi="Times New Roman" w:cs="Times New Roman"/>
          <w:sz w:val="28"/>
          <w:szCs w:val="28"/>
        </w:rPr>
        <w:t>о-</w:t>
      </w:r>
      <w:r w:rsidRPr="00243A12">
        <w:rPr>
          <w:rFonts w:ascii="Times New Roman" w:eastAsia="Calibri" w:hAnsi="Times New Roman" w:cs="Times New Roman"/>
          <w:sz w:val="28"/>
          <w:szCs w:val="28"/>
        </w:rPr>
        <w:t>инновационн</w:t>
      </w:r>
      <w:r>
        <w:rPr>
          <w:rFonts w:ascii="Times New Roman" w:eastAsia="Calibri" w:hAnsi="Times New Roman" w:cs="Times New Roman"/>
          <w:sz w:val="28"/>
          <w:szCs w:val="28"/>
        </w:rPr>
        <w:t>ой деятельности</w:t>
      </w:r>
      <w:r w:rsidRPr="00243A12">
        <w:rPr>
          <w:rFonts w:ascii="Times New Roman" w:eastAsia="Calibri" w:hAnsi="Times New Roman" w:cs="Times New Roman"/>
          <w:sz w:val="28"/>
          <w:szCs w:val="28"/>
        </w:rPr>
        <w:t>, увелич</w:t>
      </w:r>
      <w:r>
        <w:rPr>
          <w:rFonts w:ascii="Times New Roman" w:eastAsia="Calibri" w:hAnsi="Times New Roman" w:cs="Times New Roman"/>
          <w:sz w:val="28"/>
          <w:szCs w:val="28"/>
        </w:rPr>
        <w:t>ение</w:t>
      </w:r>
      <w:r w:rsidRPr="00243A12">
        <w:rPr>
          <w:rFonts w:ascii="Times New Roman" w:eastAsia="Calibri" w:hAnsi="Times New Roman" w:cs="Times New Roman"/>
          <w:sz w:val="28"/>
          <w:szCs w:val="28"/>
        </w:rPr>
        <w:t xml:space="preserve"> дол</w:t>
      </w:r>
      <w:r>
        <w:rPr>
          <w:rFonts w:ascii="Times New Roman" w:eastAsia="Calibri" w:hAnsi="Times New Roman" w:cs="Times New Roman"/>
          <w:sz w:val="28"/>
          <w:szCs w:val="28"/>
        </w:rPr>
        <w:t>и</w:t>
      </w:r>
      <w:r w:rsidRPr="00243A12">
        <w:rPr>
          <w:rFonts w:ascii="Times New Roman" w:eastAsia="Calibri" w:hAnsi="Times New Roman" w:cs="Times New Roman"/>
          <w:sz w:val="28"/>
          <w:szCs w:val="28"/>
        </w:rPr>
        <w:t xml:space="preserve"> расходов на НИОКР и технологические преобразования.</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Что касается преимуществ для инвесторов то к ним относится:</w:t>
      </w:r>
    </w:p>
    <w:p w:rsidR="001B6DE2" w:rsidRDefault="001B6DE2" w:rsidP="001B6DE2">
      <w:pPr>
        <w:numPr>
          <w:ilvl w:val="0"/>
          <w:numId w:val="14"/>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w:t>
      </w:r>
      <w:r w:rsidRPr="005238EF">
        <w:rPr>
          <w:rFonts w:ascii="Times New Roman" w:eastAsia="Calibri" w:hAnsi="Times New Roman" w:cs="Times New Roman"/>
          <w:sz w:val="28"/>
          <w:szCs w:val="28"/>
        </w:rPr>
        <w:t>беспеч</w:t>
      </w:r>
      <w:r>
        <w:rPr>
          <w:rFonts w:ascii="Times New Roman" w:eastAsia="Calibri" w:hAnsi="Times New Roman" w:cs="Times New Roman"/>
          <w:sz w:val="28"/>
          <w:szCs w:val="28"/>
        </w:rPr>
        <w:t>ение</w:t>
      </w:r>
      <w:r w:rsidRPr="005238EF">
        <w:rPr>
          <w:rFonts w:ascii="Times New Roman" w:eastAsia="Calibri" w:hAnsi="Times New Roman" w:cs="Times New Roman"/>
          <w:sz w:val="28"/>
          <w:szCs w:val="28"/>
        </w:rPr>
        <w:t xml:space="preserve"> стабильн</w:t>
      </w:r>
      <w:r>
        <w:rPr>
          <w:rFonts w:ascii="Times New Roman" w:eastAsia="Calibri" w:hAnsi="Times New Roman" w:cs="Times New Roman"/>
          <w:sz w:val="28"/>
          <w:szCs w:val="28"/>
        </w:rPr>
        <w:t>ой</w:t>
      </w:r>
      <w:r w:rsidRPr="005238EF">
        <w:rPr>
          <w:rFonts w:ascii="Times New Roman" w:eastAsia="Calibri" w:hAnsi="Times New Roman" w:cs="Times New Roman"/>
          <w:sz w:val="28"/>
          <w:szCs w:val="28"/>
        </w:rPr>
        <w:t xml:space="preserve"> бизнес-сред</w:t>
      </w:r>
      <w:r>
        <w:rPr>
          <w:rFonts w:ascii="Times New Roman" w:eastAsia="Calibri" w:hAnsi="Times New Roman" w:cs="Times New Roman"/>
          <w:sz w:val="28"/>
          <w:szCs w:val="28"/>
        </w:rPr>
        <w:t>ой, однако</w:t>
      </w:r>
      <w:r w:rsidRPr="005238EF">
        <w:rPr>
          <w:rFonts w:ascii="Times New Roman" w:eastAsia="Calibri" w:hAnsi="Times New Roman" w:cs="Times New Roman"/>
          <w:sz w:val="28"/>
          <w:szCs w:val="28"/>
        </w:rPr>
        <w:t xml:space="preserve"> в настоящее время касается </w:t>
      </w:r>
      <w:r>
        <w:rPr>
          <w:rFonts w:ascii="Times New Roman" w:eastAsia="Calibri" w:hAnsi="Times New Roman" w:cs="Times New Roman"/>
          <w:sz w:val="28"/>
          <w:szCs w:val="28"/>
        </w:rPr>
        <w:t xml:space="preserve">это </w:t>
      </w:r>
      <w:r w:rsidRPr="005238EF">
        <w:rPr>
          <w:rFonts w:ascii="Times New Roman" w:eastAsia="Calibri" w:hAnsi="Times New Roman" w:cs="Times New Roman"/>
          <w:sz w:val="28"/>
          <w:szCs w:val="28"/>
        </w:rPr>
        <w:t>только налога на прибыль, налога на имущество организаций, транспортного налога и земельного налога.</w:t>
      </w:r>
    </w:p>
    <w:p w:rsidR="001B6DE2" w:rsidRPr="00C36631" w:rsidRDefault="001B6DE2" w:rsidP="001B6DE2">
      <w:pPr>
        <w:numPr>
          <w:ilvl w:val="0"/>
          <w:numId w:val="14"/>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федеральные налоговые льготы и преференции (статус продукции, произведенной в России, статус «Единственный поставщик» и др.)</w:t>
      </w:r>
    </w:p>
    <w:p w:rsidR="001B6DE2" w:rsidRDefault="001B6DE2" w:rsidP="001B6DE2">
      <w:pPr>
        <w:numPr>
          <w:ilvl w:val="0"/>
          <w:numId w:val="14"/>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региональные налоговые льготы и преференции (</w:t>
      </w:r>
      <w:r w:rsidRPr="005238EF">
        <w:rPr>
          <w:rFonts w:ascii="Times New Roman" w:eastAsia="Calibri" w:hAnsi="Times New Roman" w:cs="Times New Roman"/>
          <w:sz w:val="28"/>
          <w:szCs w:val="28"/>
        </w:rPr>
        <w:t>организованные льготы по налогу на имущество, региональные льготы по некоторым налогам на прибыль и т. д.</w:t>
      </w:r>
      <w:r>
        <w:rPr>
          <w:rFonts w:ascii="Times New Roman" w:eastAsia="Calibri" w:hAnsi="Times New Roman" w:cs="Times New Roman"/>
          <w:sz w:val="28"/>
          <w:szCs w:val="28"/>
        </w:rPr>
        <w:t>)</w:t>
      </w:r>
    </w:p>
    <w:p w:rsidR="001B6DE2" w:rsidRPr="00C36631" w:rsidRDefault="001B6DE2" w:rsidP="001B6DE2">
      <w:pPr>
        <w:numPr>
          <w:ilvl w:val="0"/>
          <w:numId w:val="14"/>
        </w:numPr>
        <w:autoSpaceDE w:val="0"/>
        <w:autoSpaceDN w:val="0"/>
        <w:adjustRightInd w:val="0"/>
        <w:spacing w:after="0" w:line="360" w:lineRule="auto"/>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 льгота по налогу на при</w:t>
      </w:r>
      <w:r>
        <w:rPr>
          <w:rFonts w:ascii="Times New Roman" w:eastAsia="Calibri" w:hAnsi="Times New Roman" w:cs="Times New Roman"/>
          <w:sz w:val="28"/>
          <w:szCs w:val="28"/>
        </w:rPr>
        <w:t>быль в региональной части и др.</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5238EF">
        <w:rPr>
          <w:rFonts w:ascii="Times New Roman" w:eastAsia="Calibri" w:hAnsi="Times New Roman" w:cs="Times New Roman"/>
          <w:sz w:val="28"/>
          <w:szCs w:val="28"/>
        </w:rPr>
        <w:t>Федеральный, региональный и местные бюджеты оказывают финансовую поддержку высокотехнологичным, наукоемким и инновационным производственным предприятиям посредством бюджетных инвестиций, субсидий, грантов, гарантий государственных и муниципальных обязательств перед этими субъектами</w:t>
      </w:r>
      <w:r w:rsidRPr="00C36631">
        <w:rPr>
          <w:rFonts w:ascii="Times New Roman" w:eastAsia="Calibri" w:hAnsi="Times New Roman" w:cs="Times New Roman"/>
          <w:sz w:val="28"/>
          <w:szCs w:val="28"/>
        </w:rPr>
        <w:t>.</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5238EF">
        <w:rPr>
          <w:rFonts w:ascii="Times New Roman" w:eastAsia="Calibri" w:hAnsi="Times New Roman" w:cs="Times New Roman"/>
          <w:sz w:val="28"/>
          <w:szCs w:val="28"/>
        </w:rPr>
        <w:t>По данным на 2022 год, основными институтами финансовой поддержки в сфере инноваций в Российской Федерации являются</w:t>
      </w:r>
      <w:r w:rsidRPr="00C36631">
        <w:rPr>
          <w:rFonts w:ascii="Times New Roman" w:eastAsia="Calibri" w:hAnsi="Times New Roman" w:cs="Times New Roman"/>
          <w:sz w:val="28"/>
          <w:szCs w:val="28"/>
        </w:rPr>
        <w:t>:</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1) </w:t>
      </w:r>
      <w:r w:rsidRPr="005238EF">
        <w:rPr>
          <w:rFonts w:ascii="Times New Roman" w:eastAsia="Calibri" w:hAnsi="Times New Roman" w:cs="Times New Roman"/>
          <w:sz w:val="28"/>
          <w:szCs w:val="28"/>
        </w:rPr>
        <w:t xml:space="preserve">Корпорация </w:t>
      </w:r>
      <w:r>
        <w:rPr>
          <w:rFonts w:ascii="Times New Roman" w:eastAsia="Calibri" w:hAnsi="Times New Roman" w:cs="Times New Roman"/>
          <w:sz w:val="28"/>
          <w:szCs w:val="28"/>
        </w:rPr>
        <w:t>«</w:t>
      </w:r>
      <w:r w:rsidRPr="005238EF">
        <w:rPr>
          <w:rFonts w:ascii="Times New Roman" w:eastAsia="Calibri" w:hAnsi="Times New Roman" w:cs="Times New Roman"/>
          <w:sz w:val="28"/>
          <w:szCs w:val="28"/>
        </w:rPr>
        <w:t>Роснано</w:t>
      </w:r>
      <w:r>
        <w:rPr>
          <w:rFonts w:ascii="Times New Roman" w:eastAsia="Calibri" w:hAnsi="Times New Roman" w:cs="Times New Roman"/>
          <w:sz w:val="28"/>
          <w:szCs w:val="28"/>
        </w:rPr>
        <w:t>»</w:t>
      </w:r>
      <w:r w:rsidRPr="005238EF">
        <w:rPr>
          <w:rFonts w:ascii="Times New Roman" w:eastAsia="Calibri" w:hAnsi="Times New Roman" w:cs="Times New Roman"/>
          <w:sz w:val="28"/>
          <w:szCs w:val="28"/>
        </w:rPr>
        <w:t xml:space="preserve"> </w:t>
      </w:r>
      <w:r w:rsidRPr="00C36631">
        <w:rPr>
          <w:rFonts w:ascii="Times New Roman" w:eastAsia="Calibri" w:hAnsi="Times New Roman" w:cs="Times New Roman"/>
          <w:sz w:val="28"/>
          <w:szCs w:val="28"/>
        </w:rPr>
        <w:t xml:space="preserve">– </w:t>
      </w:r>
      <w:r w:rsidRPr="005238EF">
        <w:rPr>
          <w:rFonts w:ascii="Times New Roman" w:eastAsia="Calibri" w:hAnsi="Times New Roman" w:cs="Times New Roman"/>
          <w:sz w:val="28"/>
          <w:szCs w:val="28"/>
        </w:rPr>
        <w:t>ключевой игрок в финансировании инновационных проектов в России, особенно в сегментах нанотехнологий, медицинского оборудования, применения ядерных технологий в медицине и возобновляемой энергетики. Данная корпорация участвует в инвестировании как напрямую, так и через со</w:t>
      </w:r>
      <w:r>
        <w:rPr>
          <w:rFonts w:ascii="Times New Roman" w:eastAsia="Calibri" w:hAnsi="Times New Roman" w:cs="Times New Roman"/>
          <w:sz w:val="28"/>
          <w:szCs w:val="28"/>
        </w:rPr>
        <w:t>зданные ей инвестиционные фонды</w:t>
      </w:r>
      <w:r w:rsidRPr="005238EF">
        <w:rPr>
          <w:rFonts w:ascii="Times New Roman" w:eastAsia="Calibri" w:hAnsi="Times New Roman" w:cs="Times New Roman"/>
          <w:sz w:val="28"/>
          <w:szCs w:val="28"/>
        </w:rPr>
        <w:t xml:space="preserve"> </w:t>
      </w:r>
      <w:r w:rsidRPr="00C36631">
        <w:rPr>
          <w:rFonts w:ascii="Times New Roman" w:eastAsia="Calibri" w:hAnsi="Times New Roman" w:cs="Times New Roman"/>
          <w:sz w:val="28"/>
          <w:szCs w:val="28"/>
        </w:rPr>
        <w:t>[77].</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2) </w:t>
      </w:r>
      <w:r>
        <w:rPr>
          <w:rFonts w:ascii="Times New Roman" w:eastAsia="Calibri" w:hAnsi="Times New Roman" w:cs="Times New Roman"/>
          <w:sz w:val="28"/>
          <w:szCs w:val="28"/>
        </w:rPr>
        <w:t>«</w:t>
      </w:r>
      <w:r w:rsidRPr="005238EF">
        <w:rPr>
          <w:rFonts w:ascii="Times New Roman" w:eastAsia="Calibri" w:hAnsi="Times New Roman" w:cs="Times New Roman"/>
          <w:sz w:val="28"/>
          <w:szCs w:val="28"/>
        </w:rPr>
        <w:t>Российская венчурная компания</w:t>
      </w:r>
      <w:r>
        <w:rPr>
          <w:rFonts w:ascii="Times New Roman" w:eastAsia="Calibri" w:hAnsi="Times New Roman" w:cs="Times New Roman"/>
          <w:sz w:val="28"/>
          <w:szCs w:val="28"/>
        </w:rPr>
        <w:t>»</w:t>
      </w:r>
      <w:r w:rsidRPr="005238EF">
        <w:rPr>
          <w:rFonts w:ascii="Times New Roman" w:eastAsia="Calibri" w:hAnsi="Times New Roman" w:cs="Times New Roman"/>
          <w:sz w:val="28"/>
          <w:szCs w:val="28"/>
        </w:rPr>
        <w:t xml:space="preserve"> (РВК) является венчурным фондом с международным статусом, целью которого является стимулирование роста отечественного рынка венчурного капитала и поддержка национальных</w:t>
      </w:r>
      <w:r>
        <w:rPr>
          <w:rFonts w:ascii="Times New Roman" w:eastAsia="Calibri" w:hAnsi="Times New Roman" w:cs="Times New Roman"/>
          <w:sz w:val="28"/>
          <w:szCs w:val="28"/>
        </w:rPr>
        <w:t xml:space="preserve"> проектов в инновационной сфере</w:t>
      </w:r>
      <w:r w:rsidRPr="005238EF">
        <w:rPr>
          <w:rFonts w:ascii="Times New Roman" w:eastAsia="Calibri" w:hAnsi="Times New Roman" w:cs="Times New Roman"/>
          <w:sz w:val="28"/>
          <w:szCs w:val="28"/>
        </w:rPr>
        <w:t xml:space="preserve"> </w:t>
      </w:r>
      <w:r w:rsidRPr="00C36631">
        <w:rPr>
          <w:rFonts w:ascii="Times New Roman" w:eastAsia="Calibri" w:hAnsi="Times New Roman" w:cs="Times New Roman"/>
          <w:sz w:val="28"/>
          <w:szCs w:val="28"/>
        </w:rPr>
        <w:t>[41].</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3) </w:t>
      </w:r>
      <w:r>
        <w:rPr>
          <w:rFonts w:ascii="Times New Roman" w:eastAsia="Calibri" w:hAnsi="Times New Roman" w:cs="Times New Roman"/>
          <w:sz w:val="28"/>
          <w:szCs w:val="28"/>
        </w:rPr>
        <w:t xml:space="preserve">В </w:t>
      </w:r>
      <w:r w:rsidRPr="000254B1">
        <w:rPr>
          <w:rFonts w:ascii="Times New Roman" w:eastAsia="Calibri" w:hAnsi="Times New Roman" w:cs="Times New Roman"/>
          <w:sz w:val="28"/>
          <w:szCs w:val="28"/>
        </w:rPr>
        <w:t>структуре инновационного центра "Сколково" действует одноименный фонд, направленный на поддержку проектов участников. Эти проекты получают финансирование для развития и вывод</w:t>
      </w:r>
      <w:r>
        <w:rPr>
          <w:rFonts w:ascii="Times New Roman" w:eastAsia="Calibri" w:hAnsi="Times New Roman" w:cs="Times New Roman"/>
          <w:sz w:val="28"/>
          <w:szCs w:val="28"/>
        </w:rPr>
        <w:t>а на рынок передовых технологий</w:t>
      </w:r>
      <w:r w:rsidRPr="000254B1">
        <w:rPr>
          <w:rFonts w:ascii="Times New Roman" w:eastAsia="Calibri" w:hAnsi="Times New Roman" w:cs="Times New Roman"/>
          <w:sz w:val="28"/>
          <w:szCs w:val="28"/>
        </w:rPr>
        <w:t xml:space="preserve"> </w:t>
      </w:r>
      <w:r w:rsidRPr="00C36631">
        <w:rPr>
          <w:rFonts w:ascii="Times New Roman" w:eastAsia="Calibri" w:hAnsi="Times New Roman" w:cs="Times New Roman"/>
          <w:sz w:val="28"/>
          <w:szCs w:val="28"/>
        </w:rPr>
        <w:t>[28].</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lastRenderedPageBreak/>
        <w:t xml:space="preserve">4) </w:t>
      </w:r>
      <w:r w:rsidRPr="000254B1">
        <w:rPr>
          <w:rFonts w:ascii="Times New Roman" w:eastAsia="Calibri" w:hAnsi="Times New Roman" w:cs="Times New Roman"/>
          <w:sz w:val="28"/>
          <w:szCs w:val="28"/>
        </w:rPr>
        <w:t>Национальная некоммерческая организация "Фонд Содействия Инновациям" вносит свой вклад в развитие малого бизнеса, работающего в технологической отрасли. Она предоставляет финансы для реализации инновационных идей, поддерживая при этом по</w:t>
      </w:r>
      <w:r>
        <w:rPr>
          <w:rFonts w:ascii="Times New Roman" w:eastAsia="Calibri" w:hAnsi="Times New Roman" w:cs="Times New Roman"/>
          <w:sz w:val="28"/>
          <w:szCs w:val="28"/>
        </w:rPr>
        <w:t xml:space="preserve">рядка трех тысяч проектов в год </w:t>
      </w:r>
      <w:r w:rsidRPr="00C36631">
        <w:rPr>
          <w:rFonts w:ascii="Times New Roman" w:eastAsia="Calibri" w:hAnsi="Times New Roman" w:cs="Times New Roman"/>
          <w:sz w:val="28"/>
          <w:szCs w:val="28"/>
        </w:rPr>
        <w:t>[81].</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w:t>
      </w:r>
      <w:r w:rsidRPr="000254B1">
        <w:rPr>
          <w:rFonts w:ascii="Times New Roman" w:eastAsia="Calibri" w:hAnsi="Times New Roman" w:cs="Times New Roman"/>
          <w:sz w:val="28"/>
          <w:szCs w:val="28"/>
        </w:rPr>
        <w:t>Фонд Развития Промышленности</w:t>
      </w:r>
      <w:r>
        <w:rPr>
          <w:rFonts w:ascii="Times New Roman" w:eastAsia="Calibri" w:hAnsi="Times New Roman" w:cs="Times New Roman"/>
          <w:sz w:val="28"/>
          <w:szCs w:val="28"/>
        </w:rPr>
        <w:t>»</w:t>
      </w:r>
      <w:r w:rsidRPr="000254B1">
        <w:rPr>
          <w:rFonts w:ascii="Times New Roman" w:eastAsia="Calibri" w:hAnsi="Times New Roman" w:cs="Times New Roman"/>
          <w:sz w:val="28"/>
          <w:szCs w:val="28"/>
        </w:rPr>
        <w:t xml:space="preserve"> - государственная структура, фокусирующаяся на софинансировании значимых инвестиционных начинаний. Его активность направлена на поддержание процесса создания и выпуска новой продукции, отличающейся высокой степенью технологичности. </w:t>
      </w:r>
      <w:r w:rsidRPr="00C36631">
        <w:rPr>
          <w:rFonts w:ascii="Times New Roman" w:eastAsia="Calibri" w:hAnsi="Times New Roman" w:cs="Times New Roman"/>
          <w:sz w:val="28"/>
          <w:szCs w:val="28"/>
        </w:rPr>
        <w:t>[82].</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6) </w:t>
      </w:r>
      <w:r w:rsidRPr="000254B1">
        <w:rPr>
          <w:rFonts w:ascii="Times New Roman" w:eastAsia="Calibri" w:hAnsi="Times New Roman" w:cs="Times New Roman"/>
          <w:sz w:val="28"/>
          <w:szCs w:val="28"/>
        </w:rPr>
        <w:t>ВЭБ.РФ - ведущий национальный институт развития, играющий значительную роль в устойчивом функционировании экосистемы инновационной деятельности России и научно-техническом прогрессе. Основные направления его работы включают в себя как проектное финансирование, так и ряд других механизмов, призванных стимулировать научно-</w:t>
      </w:r>
      <w:r>
        <w:rPr>
          <w:rFonts w:ascii="Times New Roman" w:eastAsia="Calibri" w:hAnsi="Times New Roman" w:cs="Times New Roman"/>
          <w:sz w:val="28"/>
          <w:szCs w:val="28"/>
        </w:rPr>
        <w:t>технологическое развитие страны</w:t>
      </w:r>
      <w:r w:rsidRPr="00C36631">
        <w:rPr>
          <w:rFonts w:ascii="Times New Roman" w:eastAsia="Calibri" w:hAnsi="Times New Roman" w:cs="Times New Roman"/>
          <w:sz w:val="28"/>
          <w:szCs w:val="28"/>
        </w:rPr>
        <w:t xml:space="preserve"> [84].</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Так Новикомбанк, опорный банк Госкорпорации Ростех, и правительство Владимирской области в рамках ПМЭФ-2023 заключили соглашение о сотрудничестве. По условиям соглашения банк примет участие в инновационном развитии промышленного комплекса региона, организует финансирование для технического перевооружения и модернизации высокотехнологичных предприятий. Данное соглашение позволит своевременно получать информацию о региональных проектах на ранней стадии обсуждения и таким образом сопровождать их реализацию на всех этапах разработки [89]. </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Таким образом, финансовые инструменты стимулирования инноваций представляют собой важный компонент поддержки и развития инновационного бизнеса. </w:t>
      </w:r>
      <w:r w:rsidRPr="000254B1">
        <w:rPr>
          <w:rFonts w:ascii="Times New Roman" w:eastAsia="Calibri" w:hAnsi="Times New Roman" w:cs="Times New Roman"/>
          <w:sz w:val="28"/>
          <w:szCs w:val="28"/>
        </w:rPr>
        <w:t xml:space="preserve">Центральную роль в этом процессе играют различные инструменты, включая гранты, налоговые льготы, субсидии и венчурное финансирование. Они созданы специально для поддержки бизнеса </w:t>
      </w:r>
      <w:r w:rsidRPr="000254B1">
        <w:rPr>
          <w:rFonts w:ascii="Times New Roman" w:eastAsia="Calibri" w:hAnsi="Times New Roman" w:cs="Times New Roman"/>
          <w:sz w:val="28"/>
          <w:szCs w:val="28"/>
        </w:rPr>
        <w:lastRenderedPageBreak/>
        <w:t>на ранних стадиях развития, минимизируя связанные с ним финансовые риски и создавая среду, в которой могут происходить не только инновации, но и достигаться коммерческий успех. Основным преимуществом такого вида поддержки является доступ к ресурсам, необходимым для реализации инновационных проектов. Благодаря этим финансовым каналам предприниматели имеют возможность воплотить свои идеи в жизнь без бремени кредитов и займов, которые могут быть недоступны или непомерно обременительны для стартапов. Однако при реализации этих мер следует также учитывать конкретные обстоятельства каждого инструмента и соответствующие рыночные условия. Эффективность поддержки можно обеспечить только за счет правильного выбора средств для конкретной инновационной модели и установления механизмов контроля, гарантируя тем самым правильное использование средств и полную прозрачность финансовых операций. Это требует тщательного планирования и стратегического подхода со стороны государственных и частных инвестиционных фондов, чтобы каждый вложенный рубль способствовал реальному инновационному прогрессу и укреплению национальной экономики.</w:t>
      </w:r>
    </w:p>
    <w:p w:rsidR="001B6DE2" w:rsidRDefault="001B6DE2" w:rsidP="001B6DE2">
      <w:pPr>
        <w:spacing w:after="0" w:line="360" w:lineRule="auto"/>
        <w:jc w:val="both"/>
        <w:rPr>
          <w:rFonts w:ascii="Times New Roman" w:eastAsia="Calibri" w:hAnsi="Times New Roman" w:cs="Times New Roman"/>
          <w:sz w:val="28"/>
          <w:szCs w:val="28"/>
        </w:rPr>
      </w:pPr>
    </w:p>
    <w:p w:rsidR="001B6DE2" w:rsidRDefault="001B6DE2" w:rsidP="001B6DE2">
      <w:pPr>
        <w:spacing w:after="0" w:line="360" w:lineRule="auto"/>
        <w:jc w:val="both"/>
        <w:rPr>
          <w:rFonts w:ascii="Times New Roman" w:eastAsia="Calibri" w:hAnsi="Times New Roman" w:cs="Times New Roman"/>
          <w:sz w:val="28"/>
          <w:szCs w:val="28"/>
        </w:rPr>
      </w:pPr>
    </w:p>
    <w:p w:rsidR="001B6DE2" w:rsidRDefault="001B6DE2" w:rsidP="001B6DE2">
      <w:pPr>
        <w:spacing w:after="0" w:line="360" w:lineRule="auto"/>
        <w:jc w:val="both"/>
        <w:rPr>
          <w:rFonts w:ascii="Times New Roman" w:eastAsia="Calibri" w:hAnsi="Times New Roman" w:cs="Times New Roman"/>
          <w:sz w:val="28"/>
          <w:szCs w:val="28"/>
        </w:rPr>
      </w:pPr>
    </w:p>
    <w:p w:rsidR="001B6DE2" w:rsidRDefault="001B6DE2" w:rsidP="001B6DE2">
      <w:pPr>
        <w:spacing w:after="0" w:line="360" w:lineRule="auto"/>
        <w:jc w:val="both"/>
        <w:rPr>
          <w:rFonts w:ascii="Times New Roman" w:eastAsia="Calibri" w:hAnsi="Times New Roman" w:cs="Times New Roman"/>
          <w:sz w:val="28"/>
          <w:szCs w:val="28"/>
        </w:rPr>
      </w:pPr>
    </w:p>
    <w:p w:rsidR="001B6DE2" w:rsidRDefault="001B6DE2" w:rsidP="001B6DE2">
      <w:pPr>
        <w:spacing w:after="0" w:line="360" w:lineRule="auto"/>
        <w:jc w:val="both"/>
        <w:rPr>
          <w:rFonts w:ascii="Times New Roman" w:eastAsia="Calibri" w:hAnsi="Times New Roman" w:cs="Times New Roman"/>
          <w:sz w:val="28"/>
          <w:szCs w:val="28"/>
        </w:rPr>
      </w:pPr>
    </w:p>
    <w:p w:rsidR="001B6DE2" w:rsidRDefault="001B6DE2" w:rsidP="001B6DE2">
      <w:pPr>
        <w:spacing w:after="0" w:line="360" w:lineRule="auto"/>
        <w:jc w:val="both"/>
        <w:rPr>
          <w:rFonts w:ascii="Times New Roman" w:eastAsia="Calibri" w:hAnsi="Times New Roman" w:cs="Times New Roman"/>
          <w:sz w:val="28"/>
          <w:szCs w:val="28"/>
        </w:rPr>
      </w:pPr>
    </w:p>
    <w:p w:rsidR="001B6DE2" w:rsidRDefault="001B6DE2" w:rsidP="001B6DE2">
      <w:pPr>
        <w:spacing w:after="0" w:line="360" w:lineRule="auto"/>
        <w:jc w:val="both"/>
        <w:rPr>
          <w:rFonts w:ascii="Times New Roman" w:eastAsia="Calibri" w:hAnsi="Times New Roman" w:cs="Times New Roman"/>
          <w:sz w:val="28"/>
          <w:szCs w:val="28"/>
        </w:rPr>
      </w:pPr>
    </w:p>
    <w:p w:rsidR="001B6DE2" w:rsidRDefault="001B6DE2" w:rsidP="001B6DE2">
      <w:pPr>
        <w:spacing w:after="0" w:line="360" w:lineRule="auto"/>
        <w:jc w:val="both"/>
        <w:rPr>
          <w:rFonts w:ascii="Times New Roman" w:eastAsia="Calibri" w:hAnsi="Times New Roman" w:cs="Times New Roman"/>
          <w:sz w:val="28"/>
          <w:szCs w:val="28"/>
        </w:rPr>
      </w:pPr>
    </w:p>
    <w:p w:rsidR="001B6DE2" w:rsidRDefault="001B6DE2" w:rsidP="001B6DE2">
      <w:pPr>
        <w:spacing w:after="0" w:line="360" w:lineRule="auto"/>
        <w:jc w:val="both"/>
        <w:rPr>
          <w:rFonts w:ascii="Times New Roman" w:eastAsia="Calibri" w:hAnsi="Times New Roman" w:cs="Times New Roman"/>
          <w:sz w:val="28"/>
          <w:szCs w:val="28"/>
        </w:rPr>
      </w:pPr>
    </w:p>
    <w:p w:rsidR="001B6DE2" w:rsidRDefault="001B6DE2" w:rsidP="001B6DE2">
      <w:pPr>
        <w:spacing w:after="0" w:line="360" w:lineRule="auto"/>
        <w:jc w:val="both"/>
        <w:rPr>
          <w:rFonts w:ascii="Times New Roman" w:eastAsia="Calibri" w:hAnsi="Times New Roman" w:cs="Times New Roman"/>
          <w:sz w:val="28"/>
          <w:szCs w:val="28"/>
        </w:rPr>
      </w:pPr>
    </w:p>
    <w:p w:rsidR="001B6DE2" w:rsidRPr="00C36631" w:rsidRDefault="001B6DE2" w:rsidP="001B6DE2">
      <w:pPr>
        <w:spacing w:after="0" w:line="360" w:lineRule="auto"/>
        <w:jc w:val="both"/>
        <w:rPr>
          <w:rFonts w:ascii="Times New Roman" w:eastAsia="Calibri" w:hAnsi="Times New Roman" w:cs="Times New Roman"/>
          <w:sz w:val="28"/>
          <w:szCs w:val="28"/>
        </w:rPr>
      </w:pP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b/>
          <w:sz w:val="28"/>
          <w:szCs w:val="28"/>
        </w:rPr>
      </w:pPr>
      <w:r w:rsidRPr="00117327">
        <w:rPr>
          <w:rFonts w:ascii="Times New Roman" w:eastAsia="Calibri" w:hAnsi="Times New Roman" w:cs="Times New Roman"/>
          <w:b/>
          <w:sz w:val="28"/>
          <w:szCs w:val="28"/>
        </w:rPr>
        <w:lastRenderedPageBreak/>
        <w:t>2 Анализ существующих финансовых инструментов стимулирования инновационного бизнеса в России</w:t>
      </w: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b/>
          <w:sz w:val="28"/>
          <w:szCs w:val="28"/>
        </w:rPr>
      </w:pP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b/>
          <w:sz w:val="28"/>
          <w:szCs w:val="28"/>
        </w:rPr>
      </w:pPr>
      <w:r w:rsidRPr="00117327">
        <w:rPr>
          <w:rFonts w:ascii="Times New Roman" w:eastAsia="Calibri" w:hAnsi="Times New Roman" w:cs="Times New Roman"/>
          <w:b/>
          <w:sz w:val="28"/>
          <w:szCs w:val="28"/>
        </w:rPr>
        <w:t>2.1 Анализ уровня инновационной активности предприятий в отраслях</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Инновационная деятельность сегодня становятся решающим аспектом в производстве товаров и оказании услуг, способных удержаться на конкурентном рынке. Такие подходы не только открывают новые горизонты для предприятий, но и служат катализатором экономического роста государства. В России эти методики стимулирования инновационного сектора, которые были детально разобраны в первой главе исследования, находят широкое применение и, как следствие, позитивно воздействуют на индустриальное развитие, хотя и с различной степенью результативности. (рисунок 6).</w:t>
      </w:r>
    </w:p>
    <w:p w:rsidR="001B6DE2" w:rsidRPr="00C36631"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jc w:val="center"/>
        <w:rPr>
          <w:rFonts w:ascii="Times New Roman" w:eastAsia="Calibri" w:hAnsi="Times New Roman" w:cs="Times New Roman"/>
          <w:sz w:val="28"/>
          <w:szCs w:val="28"/>
        </w:rPr>
      </w:pPr>
      <w:r w:rsidRPr="00C36631">
        <w:rPr>
          <w:noProof/>
          <w:lang w:eastAsia="ru-RU"/>
        </w:rPr>
        <w:drawing>
          <wp:inline distT="0" distB="0" distL="0" distR="0" wp14:anchorId="2D523272" wp14:editId="456618E1">
            <wp:extent cx="6005731" cy="3076575"/>
            <wp:effectExtent l="0" t="0" r="1460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6DE2" w:rsidRPr="00C36631" w:rsidRDefault="001B6DE2" w:rsidP="001B6DE2">
      <w:pPr>
        <w:autoSpaceDE w:val="0"/>
        <w:autoSpaceDN w:val="0"/>
        <w:adjustRightInd w:val="0"/>
        <w:spacing w:after="0" w:line="360" w:lineRule="auto"/>
        <w:jc w:val="center"/>
        <w:rPr>
          <w:rFonts w:ascii="Times New Roman" w:eastAsia="Calibri" w:hAnsi="Times New Roman" w:cs="Times New Roman"/>
          <w:sz w:val="28"/>
          <w:szCs w:val="28"/>
        </w:rPr>
      </w:pPr>
      <w:r w:rsidRPr="00C36631">
        <w:rPr>
          <w:rFonts w:ascii="Times New Roman" w:eastAsia="Calibri" w:hAnsi="Times New Roman" w:cs="Times New Roman"/>
          <w:sz w:val="28"/>
          <w:szCs w:val="28"/>
        </w:rPr>
        <w:t>Рисунок 6 – Объем инновационных товаров, работ, услуг 2017-2022 гг. [83]</w:t>
      </w:r>
    </w:p>
    <w:p w:rsidR="001B6DE2" w:rsidRPr="00C36631" w:rsidRDefault="001B6DE2" w:rsidP="001B6DE2">
      <w:pPr>
        <w:autoSpaceDE w:val="0"/>
        <w:autoSpaceDN w:val="0"/>
        <w:adjustRightInd w:val="0"/>
        <w:spacing w:after="0" w:line="360" w:lineRule="auto"/>
        <w:jc w:val="both"/>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На основе проведенного анализа становится очевидно, что государственные инициативы в области инноваций все же приводят к </w:t>
      </w:r>
      <w:r w:rsidRPr="00C36631">
        <w:rPr>
          <w:rFonts w:ascii="Times New Roman" w:eastAsia="Calibri" w:hAnsi="Times New Roman" w:cs="Times New Roman"/>
          <w:sz w:val="28"/>
          <w:szCs w:val="28"/>
        </w:rPr>
        <w:lastRenderedPageBreak/>
        <w:t>положительным изменениям. Однако инновационный потенциал российских компаний развивается неоднозначно. Сравнение статистических показателей последних пяти лет отражает интересные тенденции: если в 2022 году рост объема инновационной продукции составил в 1.06 раза по сравнению с 2021 годом, то это увеличение выглядит еще более значительным на фоне общего роста производственных показателей – в 1.63 раза с 2017 года. Бюджеты на технологические инновации также расширились: их объем возрос в 1.89 раза  с 2017 года. Тем не менее, рассмотренный в динамике объем инновационных товаров и услуг все еще не демонстрирует ожидаемого роста, отставая от общего темпа развития. (рисунок 7).</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jc w:val="center"/>
        <w:rPr>
          <w:rFonts w:ascii="Times New Roman" w:eastAsia="Calibri" w:hAnsi="Times New Roman" w:cs="Times New Roman"/>
          <w:sz w:val="28"/>
          <w:szCs w:val="28"/>
        </w:rPr>
      </w:pPr>
      <w:r w:rsidRPr="00C36631">
        <w:rPr>
          <w:noProof/>
          <w:lang w:eastAsia="ru-RU"/>
        </w:rPr>
        <w:drawing>
          <wp:inline distT="0" distB="0" distL="0" distR="0" wp14:anchorId="78D544EE" wp14:editId="28C24C75">
            <wp:extent cx="5937250" cy="3562350"/>
            <wp:effectExtent l="0" t="0" r="63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Рисунок 7 – Затраты на инновационную деятельность организаций [83]</w:t>
      </w:r>
    </w:p>
    <w:p w:rsidR="001B6DE2" w:rsidRPr="00C36631" w:rsidRDefault="001B6DE2" w:rsidP="001B6DE2">
      <w:pPr>
        <w:autoSpaceDE w:val="0"/>
        <w:autoSpaceDN w:val="0"/>
        <w:adjustRightInd w:val="0"/>
        <w:spacing w:after="0" w:line="360" w:lineRule="auto"/>
        <w:jc w:val="both"/>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При этом замечено, что в промежутке времени между 2010 и 2022 годами произошло уменьшение доли затрат на научные исследования и разработки в структуре валового внутреннего продукта России. (рисунок 8).</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rPr>
          <w:rFonts w:ascii="Times New Roman" w:eastAsia="Calibri" w:hAnsi="Times New Roman" w:cs="Times New Roman"/>
          <w:sz w:val="28"/>
          <w:szCs w:val="28"/>
        </w:rPr>
      </w:pPr>
      <w:r w:rsidRPr="00C36631">
        <w:rPr>
          <w:noProof/>
          <w:lang w:eastAsia="ru-RU"/>
        </w:rPr>
        <w:lastRenderedPageBreak/>
        <w:drawing>
          <wp:inline distT="0" distB="0" distL="0" distR="0" wp14:anchorId="40FBF0DB" wp14:editId="1C53DEEC">
            <wp:extent cx="5905500" cy="27432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6DE2" w:rsidRPr="00C36631" w:rsidRDefault="001B6DE2" w:rsidP="001B6DE2">
      <w:pPr>
        <w:autoSpaceDE w:val="0"/>
        <w:autoSpaceDN w:val="0"/>
        <w:adjustRightInd w:val="0"/>
        <w:spacing w:after="0" w:line="360" w:lineRule="auto"/>
        <w:ind w:firstLine="567"/>
        <w:jc w:val="center"/>
        <w:rPr>
          <w:rFonts w:ascii="Times New Roman" w:eastAsia="Calibri" w:hAnsi="Times New Roman" w:cs="Times New Roman"/>
          <w:sz w:val="28"/>
          <w:szCs w:val="28"/>
        </w:rPr>
      </w:pPr>
      <w:r w:rsidRPr="00C36631">
        <w:rPr>
          <w:rFonts w:ascii="Times New Roman" w:eastAsia="Calibri" w:hAnsi="Times New Roman" w:cs="Times New Roman"/>
          <w:sz w:val="28"/>
          <w:szCs w:val="28"/>
        </w:rPr>
        <w:t>Рисунок 8 – Доля внутренних затрат НИОКР в ВВП по РФ [83]</w:t>
      </w:r>
    </w:p>
    <w:p w:rsidR="001B6DE2" w:rsidRPr="00C36631"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Сравнения взаимосвязи между увеличением финансирования инноваций со стороны государства и активизацией инновационных процессов на предприятиях указывает на положительный эффект от введенных стимулов. Это подтверждает, что принимаемые государством меры могут успешно способствовать развитию новаторской активности.</w:t>
      </w:r>
    </w:p>
    <w:p w:rsidR="001B6DE2" w:rsidRPr="00C36631"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jc w:val="both"/>
        <w:rPr>
          <w:rFonts w:ascii="Times New Roman" w:eastAsia="Calibri" w:hAnsi="Times New Roman" w:cs="Times New Roman"/>
          <w:sz w:val="28"/>
          <w:szCs w:val="28"/>
        </w:rPr>
      </w:pPr>
      <w:r w:rsidRPr="00C36631">
        <w:rPr>
          <w:noProof/>
          <w:lang w:eastAsia="ru-RU"/>
        </w:rPr>
        <w:drawing>
          <wp:inline distT="0" distB="0" distL="0" distR="0" wp14:anchorId="589BC3A6" wp14:editId="6AAD8ED2">
            <wp:extent cx="5939790" cy="3133090"/>
            <wp:effectExtent l="0" t="0" r="381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B6DE2" w:rsidRPr="00C36631" w:rsidRDefault="001B6DE2" w:rsidP="001B6DE2">
      <w:pPr>
        <w:autoSpaceDE w:val="0"/>
        <w:autoSpaceDN w:val="0"/>
        <w:adjustRightInd w:val="0"/>
        <w:spacing w:after="0" w:line="360" w:lineRule="auto"/>
        <w:ind w:firstLine="567"/>
        <w:jc w:val="center"/>
        <w:rPr>
          <w:rFonts w:ascii="Times New Roman" w:eastAsia="Calibri" w:hAnsi="Times New Roman" w:cs="Times New Roman"/>
          <w:b/>
          <w:sz w:val="28"/>
          <w:szCs w:val="28"/>
        </w:rPr>
      </w:pPr>
      <w:r w:rsidRPr="00C36631">
        <w:rPr>
          <w:rFonts w:ascii="Times New Roman" w:eastAsia="Calibri" w:hAnsi="Times New Roman" w:cs="Times New Roman"/>
          <w:sz w:val="28"/>
          <w:szCs w:val="28"/>
        </w:rPr>
        <w:t>Рисунок 9 – Инновационная активность организаций в РФ [83]</w:t>
      </w:r>
      <w:r w:rsidRPr="00C36631">
        <w:rPr>
          <w:rFonts w:ascii="Times New Roman" w:eastAsia="Calibri" w:hAnsi="Times New Roman" w:cs="Times New Roman"/>
          <w:b/>
          <w:sz w:val="28"/>
          <w:szCs w:val="28"/>
        </w:rPr>
        <w:tab/>
      </w:r>
      <w:r w:rsidRPr="00C36631">
        <w:rPr>
          <w:rFonts w:ascii="Times New Roman" w:eastAsia="Calibri" w:hAnsi="Times New Roman" w:cs="Times New Roman"/>
          <w:b/>
          <w:sz w:val="28"/>
          <w:szCs w:val="28"/>
        </w:rPr>
        <w:tab/>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lastRenderedPageBreak/>
        <w:t>Тем не менее, несмотря на усиления внимания и ресурсной поддержки со стороны государства, рынок инновационных товаров продолжает испытывать сложности. Проявляется это в сокращении доли этих товаров на рынке, что свидетельствует о серьезных вызовах (рисунок 9).</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В 2023 году зафиксирован усиленный интерес к инновационной работе среди российских предпринимателей, что подтверждается статистическими данными федеральной службы по интеллектуальной собственности. Согласно последнему отчету Роспатента, количество официально регистрируемых патентов на новые изобретения показывает устойчивый рост. В 2023 их численность превысила 62 тысячи. Этот показатель на 7,1% выше по сравнению с прошлым годом. Указанные данные свидетельствуют об усиливающемся интересе со стороны бизнес-сообщества к инновациям и прогрессивным технологическим решениям [81].</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Что касается венчурного рынка, 2022 год стал предсказуемо кризисным для российского венчурного рынка. В сравнении с предыдущими периодами, число инвестиционных сделок на этом рынке существенно уменьшилось, достигнув уровня в 119 по сравнению с 222 в предыдущем отчетном периоде, что свидетельствует о удвоенном сокращении. Экономическая активность явно снизилась, что нашло отражение и в финансовых показателях: суммарный объем инвестиций упал с 86,3 миллиардов рублей до всего лишь 16 миллиардов, что представляет собой спад на 82% [23]. Локальный анализ показывает, что даже в условиях пандемии в 2020 году, несмотря на все трудности, удалось закрыть 204 сделки, составившие 25,1 миллиарда рублей. Такие данные подчеркивают необычайный характер нынешнего спада, отметившего новый уровень трудностей для отечественного рынка венчурного капитала.</w:t>
      </w:r>
    </w:p>
    <w:p w:rsidR="001B6DE2" w:rsidRPr="00C36631" w:rsidRDefault="001B6DE2" w:rsidP="001B6DE2">
      <w:pPr>
        <w:autoSpaceDE w:val="0"/>
        <w:autoSpaceDN w:val="0"/>
        <w:adjustRightInd w:val="0"/>
        <w:spacing w:after="0" w:line="360" w:lineRule="auto"/>
        <w:jc w:val="both"/>
        <w:rPr>
          <w:rFonts w:ascii="Times New Roman" w:eastAsia="Calibri" w:hAnsi="Times New Roman" w:cs="Times New Roman"/>
          <w:sz w:val="28"/>
          <w:szCs w:val="28"/>
        </w:rPr>
      </w:pPr>
      <w:r w:rsidRPr="00C36631">
        <w:rPr>
          <w:rFonts w:ascii="Times New Roman" w:eastAsia="Calibri" w:hAnsi="Times New Roman" w:cs="Times New Roman"/>
          <w:noProof/>
          <w:sz w:val="28"/>
          <w:szCs w:val="28"/>
          <w:lang w:eastAsia="ru-RU"/>
        </w:rPr>
        <w:lastRenderedPageBreak/>
        <w:drawing>
          <wp:inline distT="0" distB="0" distL="0" distR="0" wp14:anchorId="1F4CEE20" wp14:editId="65580150">
            <wp:extent cx="5943600" cy="24384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943600" cy="2438400"/>
                    </a:xfrm>
                    <a:prstGeom prst="rect">
                      <a:avLst/>
                    </a:prstGeom>
                    <a:noFill/>
                    <a:ln>
                      <a:noFill/>
                    </a:ln>
                  </pic:spPr>
                </pic:pic>
              </a:graphicData>
            </a:graphic>
          </wp:inline>
        </w:drawing>
      </w:r>
    </w:p>
    <w:p w:rsidR="001B6DE2" w:rsidRPr="00C36631" w:rsidRDefault="001B6DE2" w:rsidP="001B6DE2">
      <w:pPr>
        <w:autoSpaceDE w:val="0"/>
        <w:autoSpaceDN w:val="0"/>
        <w:adjustRightInd w:val="0"/>
        <w:spacing w:after="0" w:line="360" w:lineRule="auto"/>
        <w:ind w:firstLine="567"/>
        <w:jc w:val="center"/>
        <w:rPr>
          <w:rFonts w:ascii="Times New Roman" w:eastAsia="Calibri" w:hAnsi="Times New Roman" w:cs="Times New Roman"/>
          <w:sz w:val="28"/>
          <w:szCs w:val="28"/>
        </w:rPr>
      </w:pPr>
      <w:r w:rsidRPr="00C36631">
        <w:rPr>
          <w:rFonts w:ascii="Times New Roman" w:eastAsia="Calibri" w:hAnsi="Times New Roman" w:cs="Times New Roman"/>
          <w:sz w:val="28"/>
          <w:szCs w:val="28"/>
        </w:rPr>
        <w:t>Рисунок 10 - Число и объем венчурных инвестиций в РФ [23]</w:t>
      </w:r>
    </w:p>
    <w:p w:rsidR="001B6DE2" w:rsidRPr="00C36631" w:rsidRDefault="001B6DE2" w:rsidP="001B6DE2">
      <w:pPr>
        <w:autoSpaceDE w:val="0"/>
        <w:autoSpaceDN w:val="0"/>
        <w:adjustRightInd w:val="0"/>
        <w:spacing w:after="0" w:line="360" w:lineRule="auto"/>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Понимание того, насколько активно отечественные компании внедряют инновации, является ключом к оценке состояния и перспектив развития инновационного сектора российской экономики. Особенно это актуально при изучении различных отраслей, каждая из которых вносит свой уникальный вклад в прогресс страны.</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Заметно, что инновационная активность распределяется неравномерно по всем сферам экономики. На основе данных Министерства науки и высшего образования РФ выявлены такие передовые отрасли, как информационные технологии, электроника, машиностроение и транспортный сектор. Эти направления демонстрируют высокий уровень инновационной динамики и вносят значительный вклад в технологическое развитие страны.</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ИТ-сектор России продолжает демонстрировать значительный рост, стимулируя наплыв инвестиций в область научных исследований и разработок. Согласно статистическим данным, предоставленным Росстатом, в 2022 году данный сектор привлек 9,5% от общего объема инвестиций по стране. Активизация инвестиционной активности в значительной мере обусловлена появлением многочисленных инновационных стартапов, а также влиянием профессионализма высококвалифицированных ИТ-специалистов. Эти факторы в совокупности определяют ИТ-отрасль как одну из ключевых и </w:t>
      </w:r>
      <w:r w:rsidRPr="00C36631">
        <w:rPr>
          <w:rFonts w:ascii="Times New Roman" w:eastAsia="Calibri" w:hAnsi="Times New Roman" w:cs="Times New Roman"/>
          <w:sz w:val="28"/>
          <w:szCs w:val="28"/>
        </w:rPr>
        <w:lastRenderedPageBreak/>
        <w:t>наиболее привлекательных для инвестиций и развития передовых технологий в Российской Федерации. [81].</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Успешные инновации в сфере информационных технологий часто ассоциируются с развитием искусственного интеллекта – динамично растущего направления, которое уже зарекомендовало себя как фундамент для прорывных решений. В России компании вроде Яндекса и АЛРОСА находятся в авангарде этого процесса, они не просто исследуют потенциал ИИ, но и успешно интегрируют его приложения в практику. Примеры такого использования варьируются от автоматизации рабочих процессов до повышения точности анализа данных и эффективности производственных мощностей. Эти достижения не только укрепляют позиции российских IT-компаний на мировой арене, но и служат катализатором изменений в иных отраслях экономики. Интеграция IT-инноваций способна радикально трансформировать методы производства и улучшить качество обслуживания, что, в свою очередь, зачастую приводит к повышению конкурентоспособности и оптимизации операционной деятельности предприятий различных масштабов. [70].</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Однако, несмотря на положительные тенденции, в отрасли </w:t>
      </w:r>
      <w:r w:rsidRPr="00C36631">
        <w:rPr>
          <w:rFonts w:ascii="Times New Roman" w:eastAsia="Calibri" w:hAnsi="Times New Roman" w:cs="Times New Roman"/>
          <w:sz w:val="28"/>
          <w:szCs w:val="28"/>
          <w:lang w:val="en-US"/>
        </w:rPr>
        <w:t>IT</w:t>
      </w:r>
      <w:r w:rsidRPr="00C36631">
        <w:rPr>
          <w:rFonts w:ascii="Times New Roman" w:eastAsia="Calibri" w:hAnsi="Times New Roman" w:cs="Times New Roman"/>
          <w:sz w:val="28"/>
          <w:szCs w:val="28"/>
        </w:rPr>
        <w:t xml:space="preserve"> также существуют некоторые проблемы, влияющие на инновационную активность предприятий. Одной из основных проблем является недостаток высококвалифицированных кадров в данной сфере. Спрос на специалистов в области разработки программного обеспечения, аналитики данных и кибербезопасности значительно превышает предложение, что ограничивает возможности компаний для реализации своих инновационных идей. Решением этой проблемы может быть развитие системы образования и повышение квалификации в сфере </w:t>
      </w:r>
      <w:r w:rsidRPr="00C36631">
        <w:rPr>
          <w:rFonts w:ascii="Times New Roman" w:eastAsia="Calibri" w:hAnsi="Times New Roman" w:cs="Times New Roman"/>
          <w:sz w:val="28"/>
          <w:szCs w:val="28"/>
          <w:lang w:val="en-US"/>
        </w:rPr>
        <w:t>IT</w:t>
      </w:r>
      <w:r w:rsidRPr="00C36631">
        <w:rPr>
          <w:rFonts w:ascii="Times New Roman" w:eastAsia="Calibri" w:hAnsi="Times New Roman" w:cs="Times New Roman"/>
          <w:sz w:val="28"/>
          <w:szCs w:val="28"/>
        </w:rPr>
        <w:t>, а также привлечение международных экспертов и специалистов для обмена знаниями и опытом.</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В информационных технологиях, хотя наблюдаются весомые успехи, к сожалению, существуют и сложности, тормозящие инновационные процессы на предприятиях. Выявилась проблема нехватки высококвалифицированных </w:t>
      </w:r>
      <w:r w:rsidRPr="00C36631">
        <w:rPr>
          <w:rFonts w:ascii="Times New Roman" w:eastAsia="Calibri" w:hAnsi="Times New Roman" w:cs="Times New Roman"/>
          <w:sz w:val="28"/>
          <w:szCs w:val="28"/>
        </w:rPr>
        <w:lastRenderedPageBreak/>
        <w:t xml:space="preserve">специалистов, что заметно сдерживает развитие отрасли. Ощутимым стал разрыв между потребностью рынка в профессионалах в сегментах программирования, </w:t>
      </w:r>
      <w:r w:rsidRPr="00C36631">
        <w:rPr>
          <w:rFonts w:ascii="Times New Roman" w:eastAsia="Calibri" w:hAnsi="Times New Roman" w:cs="Times New Roman"/>
          <w:sz w:val="28"/>
          <w:szCs w:val="28"/>
          <w:lang w:val="en-US"/>
        </w:rPr>
        <w:t>big</w:t>
      </w:r>
      <w:r w:rsidRPr="00C36631">
        <w:rPr>
          <w:rFonts w:ascii="Times New Roman" w:eastAsia="Calibri" w:hAnsi="Times New Roman" w:cs="Times New Roman"/>
          <w:sz w:val="28"/>
          <w:szCs w:val="28"/>
        </w:rPr>
        <w:t>-</w:t>
      </w:r>
      <w:r w:rsidRPr="00C36631">
        <w:rPr>
          <w:rFonts w:ascii="Times New Roman" w:eastAsia="Calibri" w:hAnsi="Times New Roman" w:cs="Times New Roman"/>
          <w:sz w:val="28"/>
          <w:szCs w:val="28"/>
          <w:lang w:val="en-US"/>
        </w:rPr>
        <w:t>data</w:t>
      </w:r>
      <w:r w:rsidRPr="00C36631">
        <w:rPr>
          <w:rFonts w:ascii="Times New Roman" w:eastAsia="Calibri" w:hAnsi="Times New Roman" w:cs="Times New Roman"/>
          <w:sz w:val="28"/>
          <w:szCs w:val="28"/>
        </w:rPr>
        <w:t xml:space="preserve"> и охраны информации, и количеством доступных экспертов. Ускорение инноваций может быть достигнуто благодаря модернизации образовательной инфраструктуры в сфере IT, повышению уровня квалификации кадров, а также привлечению мировых экспертов для диалога и обмена уникальными практиками.</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В других отраслях, например, в производстве и обработке пищевой продукции, уровень инноваций значительно ниже. Официальная статистика указывает на малый объем инвестиций в разработки и исследования в этой сфере. Согласно Росстату, в 2022 году вложения в эту отрасль составили всего лишь 0,25% от всего объема капиталовложений в экономику России. Это свидетельствует о необходимости сосредоточить внимание и ресурсы на повышении инновационного потенциала и в данной сфере экономики. [18].</w:t>
      </w:r>
    </w:p>
    <w:p w:rsidR="001B6DE2" w:rsidRPr="00C36631" w:rsidRDefault="001B6DE2" w:rsidP="001B6DE2">
      <w:pPr>
        <w:autoSpaceDE w:val="0"/>
        <w:autoSpaceDN w:val="0"/>
        <w:adjustRightInd w:val="0"/>
        <w:spacing w:after="0" w:line="360" w:lineRule="auto"/>
        <w:ind w:firstLine="708"/>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В сфере здравоохранения, фармацевтическая отрасль играет критично важную роль, стоя у истоков инноваций и прогресса в области лечения. В России фармацевтический сектор демонстрирует значительные достижения, заметные во внедрении инновационных лекарств и технологий. Пример тому – создание отечественной вакцины "Спутник V" против COVID-19, отметившейся одной из первых на мировом уровне, выделяющейся ее высокой эффективностью и способствующей борьбе с глобальной пандемией. Этот прорыв ясно иллюстрирует способности и возможности инновационного подхода внутри российской фармацевтики.</w:t>
      </w:r>
    </w:p>
    <w:p w:rsidR="001B6DE2" w:rsidRDefault="001B6DE2" w:rsidP="001B6DE2">
      <w:pPr>
        <w:autoSpaceDE w:val="0"/>
        <w:autoSpaceDN w:val="0"/>
        <w:adjustRightInd w:val="0"/>
        <w:spacing w:after="0" w:line="360" w:lineRule="auto"/>
        <w:ind w:firstLine="708"/>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Однако вместе с успехами, отрасль сталкивается с препятствиями, которые тормозят инновационный потенциал. В частности, загвоздка заключается в проблематичности процедур, связанных с получением разрешений для вывода новых медикаментов на рынок. Регистрационные и сертификационные процессы могут быть изнурительны и запутанны, что существенно тормозит инновационные процессы в отрасли. Решить эту задачу можно за счет оптимизации регулятивной и сертификационной среды, </w:t>
      </w:r>
      <w:r w:rsidRPr="00C36631">
        <w:rPr>
          <w:rFonts w:ascii="Times New Roman" w:eastAsia="Calibri" w:hAnsi="Times New Roman" w:cs="Times New Roman"/>
          <w:sz w:val="28"/>
          <w:szCs w:val="28"/>
        </w:rPr>
        <w:lastRenderedPageBreak/>
        <w:t>укрепления ясности и оперативности в процедурах одобрения новинок. Для наглядности, в таблице ниже представлен анализ инновационной активности российских фармацевтических компаний. В таблице, составленной на основании рисунка, представлена характеристика выделенных по методу кластерного анализа групп фармацевтических предприятий, а также приведена оценка их инновационной активности.</w:t>
      </w:r>
    </w:p>
    <w:p w:rsidR="001B6DE2" w:rsidRPr="00C36631" w:rsidRDefault="001B6DE2" w:rsidP="001B6DE2">
      <w:pPr>
        <w:autoSpaceDE w:val="0"/>
        <w:autoSpaceDN w:val="0"/>
        <w:adjustRightInd w:val="0"/>
        <w:spacing w:after="0" w:line="360" w:lineRule="auto"/>
        <w:ind w:firstLine="708"/>
        <w:jc w:val="both"/>
        <w:rPr>
          <w:rFonts w:ascii="Times New Roman" w:eastAsia="Calibri" w:hAnsi="Times New Roman" w:cs="Times New Roman"/>
          <w:sz w:val="28"/>
          <w:szCs w:val="28"/>
        </w:rPr>
      </w:pPr>
    </w:p>
    <w:p w:rsidR="001B6DE2" w:rsidRDefault="001B6DE2" w:rsidP="001B6DE2">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2</w:t>
      </w:r>
      <w:r w:rsidRPr="00EB772B">
        <w:rPr>
          <w:rFonts w:ascii="Times New Roman" w:eastAsia="Calibri" w:hAnsi="Times New Roman" w:cs="Times New Roman"/>
          <w:sz w:val="28"/>
          <w:szCs w:val="28"/>
        </w:rPr>
        <w:t xml:space="preserve"> - Характеристика инновационной деятельности фармацевтических компаний в России [32]</w:t>
      </w:r>
    </w:p>
    <w:tbl>
      <w:tblPr>
        <w:tblStyle w:val="a3"/>
        <w:tblW w:w="9209" w:type="dxa"/>
        <w:tblLayout w:type="fixed"/>
        <w:tblLook w:val="04A0" w:firstRow="1" w:lastRow="0" w:firstColumn="1" w:lastColumn="0" w:noHBand="0" w:noVBand="1"/>
      </w:tblPr>
      <w:tblGrid>
        <w:gridCol w:w="988"/>
        <w:gridCol w:w="1417"/>
        <w:gridCol w:w="2126"/>
        <w:gridCol w:w="2835"/>
        <w:gridCol w:w="1843"/>
      </w:tblGrid>
      <w:tr w:rsidR="001B6DE2" w:rsidTr="00CF73CA">
        <w:trPr>
          <w:trHeight w:val="253"/>
        </w:trPr>
        <w:tc>
          <w:tcPr>
            <w:tcW w:w="988" w:type="dxa"/>
            <w:vMerge w:val="restart"/>
            <w:vAlign w:val="center"/>
          </w:tcPr>
          <w:p w:rsidR="001B6DE2" w:rsidRPr="009538E6" w:rsidRDefault="001B6DE2" w:rsidP="00CF73CA">
            <w:pPr>
              <w:contextualSpacing/>
              <w:jc w:val="center"/>
              <w:rPr>
                <w:rFonts w:ascii="Times New Roman" w:eastAsia="Calibri" w:hAnsi="Times New Roman" w:cs="Times New Roman"/>
              </w:rPr>
            </w:pPr>
            <w:r w:rsidRPr="009538E6">
              <w:rPr>
                <w:rFonts w:ascii="Times New Roman" w:eastAsia="Calibri" w:hAnsi="Times New Roman" w:cs="Times New Roman"/>
              </w:rPr>
              <w:t>№</w:t>
            </w:r>
            <w:r>
              <w:rPr>
                <w:rFonts w:ascii="Times New Roman" w:eastAsia="Calibri" w:hAnsi="Times New Roman" w:cs="Times New Roman"/>
              </w:rPr>
              <w:t xml:space="preserve"> группы</w:t>
            </w:r>
          </w:p>
        </w:tc>
        <w:tc>
          <w:tcPr>
            <w:tcW w:w="1417" w:type="dxa"/>
            <w:vMerge w:val="restart"/>
            <w:vAlign w:val="center"/>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Количество (из 50 изученных)</w:t>
            </w:r>
          </w:p>
        </w:tc>
        <w:tc>
          <w:tcPr>
            <w:tcW w:w="2126" w:type="dxa"/>
            <w:vMerge w:val="restart"/>
            <w:vAlign w:val="center"/>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Примеры предприятий</w:t>
            </w:r>
          </w:p>
        </w:tc>
        <w:tc>
          <w:tcPr>
            <w:tcW w:w="2835" w:type="dxa"/>
            <w:vMerge w:val="restart"/>
            <w:vAlign w:val="center"/>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Характеристика группы</w:t>
            </w:r>
          </w:p>
        </w:tc>
        <w:tc>
          <w:tcPr>
            <w:tcW w:w="1843" w:type="dxa"/>
            <w:vMerge w:val="restart"/>
            <w:vAlign w:val="center"/>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Инновационная активность предприятий</w:t>
            </w:r>
          </w:p>
        </w:tc>
      </w:tr>
      <w:tr w:rsidR="001B6DE2" w:rsidTr="00CF73CA">
        <w:trPr>
          <w:trHeight w:val="541"/>
        </w:trPr>
        <w:tc>
          <w:tcPr>
            <w:tcW w:w="988" w:type="dxa"/>
            <w:vMerge/>
          </w:tcPr>
          <w:p w:rsidR="001B6DE2" w:rsidRPr="009538E6" w:rsidRDefault="001B6DE2" w:rsidP="00CF73CA">
            <w:pPr>
              <w:autoSpaceDE w:val="0"/>
              <w:autoSpaceDN w:val="0"/>
              <w:adjustRightInd w:val="0"/>
              <w:spacing w:line="360" w:lineRule="auto"/>
              <w:jc w:val="both"/>
              <w:rPr>
                <w:rFonts w:ascii="Times New Roman" w:eastAsia="Calibri" w:hAnsi="Times New Roman" w:cs="Times New Roman"/>
              </w:rPr>
            </w:pPr>
          </w:p>
        </w:tc>
        <w:tc>
          <w:tcPr>
            <w:tcW w:w="1417" w:type="dxa"/>
            <w:vMerge/>
          </w:tcPr>
          <w:p w:rsidR="001B6DE2" w:rsidRPr="009538E6" w:rsidRDefault="001B6DE2" w:rsidP="00CF73CA">
            <w:pPr>
              <w:autoSpaceDE w:val="0"/>
              <w:autoSpaceDN w:val="0"/>
              <w:adjustRightInd w:val="0"/>
              <w:spacing w:line="360" w:lineRule="auto"/>
              <w:jc w:val="both"/>
              <w:rPr>
                <w:rFonts w:ascii="Times New Roman" w:eastAsia="Calibri" w:hAnsi="Times New Roman" w:cs="Times New Roman"/>
              </w:rPr>
            </w:pPr>
          </w:p>
        </w:tc>
        <w:tc>
          <w:tcPr>
            <w:tcW w:w="2126" w:type="dxa"/>
            <w:vMerge/>
          </w:tcPr>
          <w:p w:rsidR="001B6DE2" w:rsidRPr="009538E6" w:rsidRDefault="001B6DE2" w:rsidP="00CF73CA">
            <w:pPr>
              <w:autoSpaceDE w:val="0"/>
              <w:autoSpaceDN w:val="0"/>
              <w:adjustRightInd w:val="0"/>
              <w:spacing w:line="360" w:lineRule="auto"/>
              <w:jc w:val="both"/>
              <w:rPr>
                <w:rFonts w:ascii="Times New Roman" w:eastAsia="Calibri" w:hAnsi="Times New Roman" w:cs="Times New Roman"/>
              </w:rPr>
            </w:pPr>
          </w:p>
        </w:tc>
        <w:tc>
          <w:tcPr>
            <w:tcW w:w="2835" w:type="dxa"/>
            <w:vMerge/>
          </w:tcPr>
          <w:p w:rsidR="001B6DE2" w:rsidRPr="009538E6" w:rsidRDefault="001B6DE2" w:rsidP="00CF73CA">
            <w:pPr>
              <w:autoSpaceDE w:val="0"/>
              <w:autoSpaceDN w:val="0"/>
              <w:adjustRightInd w:val="0"/>
              <w:spacing w:line="360" w:lineRule="auto"/>
              <w:jc w:val="both"/>
              <w:rPr>
                <w:rFonts w:ascii="Times New Roman" w:eastAsia="Calibri" w:hAnsi="Times New Roman" w:cs="Times New Roman"/>
              </w:rPr>
            </w:pPr>
          </w:p>
        </w:tc>
        <w:tc>
          <w:tcPr>
            <w:tcW w:w="1843" w:type="dxa"/>
            <w:vMerge/>
          </w:tcPr>
          <w:p w:rsidR="001B6DE2" w:rsidRPr="009538E6" w:rsidRDefault="001B6DE2" w:rsidP="00CF73CA">
            <w:pPr>
              <w:autoSpaceDE w:val="0"/>
              <w:autoSpaceDN w:val="0"/>
              <w:adjustRightInd w:val="0"/>
              <w:spacing w:line="360" w:lineRule="auto"/>
              <w:jc w:val="both"/>
              <w:rPr>
                <w:rFonts w:ascii="Times New Roman" w:eastAsia="Calibri" w:hAnsi="Times New Roman" w:cs="Times New Roman"/>
              </w:rPr>
            </w:pPr>
          </w:p>
        </w:tc>
      </w:tr>
      <w:tr w:rsidR="001B6DE2" w:rsidTr="00CF73CA">
        <w:tc>
          <w:tcPr>
            <w:tcW w:w="988"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1</w:t>
            </w:r>
          </w:p>
        </w:tc>
        <w:tc>
          <w:tcPr>
            <w:tcW w:w="1417"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32</w:t>
            </w:r>
          </w:p>
        </w:tc>
        <w:tc>
          <w:tcPr>
            <w:tcW w:w="2126"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«Отисифарм», «Фармстандарт»,</w:t>
            </w:r>
          </w:p>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«Штада» и др.</w:t>
            </w:r>
          </w:p>
        </w:tc>
        <w:tc>
          <w:tcPr>
            <w:tcW w:w="2835" w:type="dxa"/>
            <w:vAlign w:val="center"/>
          </w:tcPr>
          <w:p w:rsidR="001B6DE2" w:rsidRPr="009538E6" w:rsidRDefault="001B6DE2" w:rsidP="00CF73CA">
            <w:pPr>
              <w:autoSpaceDE w:val="0"/>
              <w:autoSpaceDN w:val="0"/>
              <w:adjustRightInd w:val="0"/>
              <w:jc w:val="center"/>
              <w:rPr>
                <w:rFonts w:ascii="Times New Roman" w:eastAsia="Calibri" w:hAnsi="Times New Roman" w:cs="Times New Roman"/>
              </w:rPr>
            </w:pPr>
            <w:r w:rsidRPr="000254B1">
              <w:rPr>
                <w:rFonts w:ascii="Times New Roman" w:eastAsia="Calibri" w:hAnsi="Times New Roman" w:cs="Times New Roman"/>
              </w:rPr>
              <w:t>Невелико</w:t>
            </w:r>
            <w:r>
              <w:rPr>
                <w:rFonts w:ascii="Times New Roman" w:eastAsia="Calibri" w:hAnsi="Times New Roman" w:cs="Times New Roman"/>
              </w:rPr>
              <w:t>е число про</w:t>
            </w:r>
            <w:r w:rsidRPr="000254B1">
              <w:rPr>
                <w:rFonts w:ascii="Times New Roman" w:eastAsia="Calibri" w:hAnsi="Times New Roman" w:cs="Times New Roman"/>
              </w:rPr>
              <w:t>водимых исследо­ваний, нев</w:t>
            </w:r>
            <w:r>
              <w:rPr>
                <w:rFonts w:ascii="Times New Roman" w:eastAsia="Calibri" w:hAnsi="Times New Roman" w:cs="Times New Roman"/>
              </w:rPr>
              <w:t>ысокая меру вовлечен­ности в со</w:t>
            </w:r>
            <w:r w:rsidRPr="000254B1">
              <w:rPr>
                <w:rFonts w:ascii="Times New Roman" w:eastAsia="Calibri" w:hAnsi="Times New Roman" w:cs="Times New Roman"/>
              </w:rPr>
              <w:t>здание новейших препара­тов</w:t>
            </w:r>
          </w:p>
        </w:tc>
        <w:tc>
          <w:tcPr>
            <w:tcW w:w="1843"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Низкая</w:t>
            </w:r>
          </w:p>
        </w:tc>
      </w:tr>
      <w:tr w:rsidR="001B6DE2" w:rsidTr="00CF73CA">
        <w:tc>
          <w:tcPr>
            <w:tcW w:w="988"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2</w:t>
            </w:r>
          </w:p>
        </w:tc>
        <w:tc>
          <w:tcPr>
            <w:tcW w:w="1417"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6</w:t>
            </w:r>
          </w:p>
        </w:tc>
        <w:tc>
          <w:tcPr>
            <w:tcW w:w="2126"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«КРКА», «Фарма</w:t>
            </w:r>
            <w:r w:rsidRPr="009538E6">
              <w:rPr>
                <w:rFonts w:ascii="Times New Roman" w:eastAsia="Calibri" w:hAnsi="Times New Roman" w:cs="Times New Roman"/>
              </w:rPr>
              <w:softHyphen/>
              <w:t>син</w:t>
            </w:r>
            <w:r>
              <w:rPr>
                <w:rFonts w:ascii="Times New Roman" w:eastAsia="Calibri" w:hAnsi="Times New Roman" w:cs="Times New Roman"/>
              </w:rPr>
              <w:softHyphen/>
            </w:r>
            <w:r w:rsidRPr="009538E6">
              <w:rPr>
                <w:rFonts w:ascii="Times New Roman" w:eastAsia="Calibri" w:hAnsi="Times New Roman" w:cs="Times New Roman"/>
              </w:rPr>
              <w:t>тез», «Акри</w:t>
            </w:r>
            <w:r w:rsidRPr="009538E6">
              <w:rPr>
                <w:rFonts w:ascii="Times New Roman" w:eastAsia="Calibri" w:hAnsi="Times New Roman" w:cs="Times New Roman"/>
              </w:rPr>
              <w:softHyphen/>
              <w:t>хин»,</w:t>
            </w:r>
          </w:p>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«Оболенское фарм-предприя</w:t>
            </w:r>
            <w:r w:rsidRPr="009538E6">
              <w:rPr>
                <w:rFonts w:ascii="Times New Roman" w:eastAsia="Calibri" w:hAnsi="Times New Roman" w:cs="Times New Roman"/>
              </w:rPr>
              <w:softHyphen/>
              <w:t>тие»,</w:t>
            </w:r>
          </w:p>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«Обновление», «Се</w:t>
            </w:r>
            <w:r>
              <w:rPr>
                <w:rFonts w:ascii="Times New Roman" w:eastAsia="Calibri" w:hAnsi="Times New Roman" w:cs="Times New Roman"/>
              </w:rPr>
              <w:softHyphen/>
            </w:r>
            <w:r w:rsidRPr="009538E6">
              <w:rPr>
                <w:rFonts w:ascii="Times New Roman" w:eastAsia="Calibri" w:hAnsi="Times New Roman" w:cs="Times New Roman"/>
              </w:rPr>
              <w:t>верная звезда»</w:t>
            </w:r>
          </w:p>
        </w:tc>
        <w:tc>
          <w:tcPr>
            <w:tcW w:w="2835" w:type="dxa"/>
            <w:vAlign w:val="center"/>
          </w:tcPr>
          <w:p w:rsidR="001B6DE2" w:rsidRPr="009538E6" w:rsidRDefault="001B6DE2" w:rsidP="00CF73CA">
            <w:pPr>
              <w:autoSpaceDE w:val="0"/>
              <w:autoSpaceDN w:val="0"/>
              <w:adjustRightInd w:val="0"/>
              <w:jc w:val="center"/>
              <w:rPr>
                <w:rFonts w:ascii="Times New Roman" w:eastAsia="Calibri" w:hAnsi="Times New Roman" w:cs="Times New Roman"/>
              </w:rPr>
            </w:pPr>
            <w:r w:rsidRPr="000254B1">
              <w:rPr>
                <w:rFonts w:ascii="Times New Roman" w:eastAsia="Calibri" w:hAnsi="Times New Roman" w:cs="Times New Roman"/>
              </w:rPr>
              <w:t>Сбалансированная стратегия компании направлена ​​на расширение ассортимента дженериков и модернизацию оригинальных препаратов. В общей структуре исследований дженерики занимают относительно доминирующее положение.</w:t>
            </w:r>
          </w:p>
        </w:tc>
        <w:tc>
          <w:tcPr>
            <w:tcW w:w="1843"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Средняя</w:t>
            </w:r>
          </w:p>
        </w:tc>
      </w:tr>
      <w:tr w:rsidR="001B6DE2" w:rsidTr="00CF73CA">
        <w:tc>
          <w:tcPr>
            <w:tcW w:w="988"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3</w:t>
            </w:r>
          </w:p>
        </w:tc>
        <w:tc>
          <w:tcPr>
            <w:tcW w:w="1417"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9</w:t>
            </w:r>
          </w:p>
        </w:tc>
        <w:tc>
          <w:tcPr>
            <w:tcW w:w="2126" w:type="dxa"/>
            <w:vAlign w:val="center"/>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«Валента», «Сервье», «Гене</w:t>
            </w:r>
            <w:r w:rsidRPr="009538E6">
              <w:rPr>
                <w:rFonts w:ascii="Times New Roman" w:eastAsia="Calibri" w:hAnsi="Times New Roman" w:cs="Times New Roman"/>
              </w:rPr>
              <w:softHyphen/>
              <w:t>риум», «Москов</w:t>
            </w:r>
            <w:r w:rsidRPr="009538E6">
              <w:rPr>
                <w:rFonts w:ascii="Times New Roman" w:eastAsia="Calibri" w:hAnsi="Times New Roman" w:cs="Times New Roman"/>
              </w:rPr>
              <w:softHyphen/>
              <w:t>ский эндокрин</w:t>
            </w:r>
            <w:r w:rsidRPr="009538E6">
              <w:rPr>
                <w:rFonts w:ascii="Times New Roman" w:eastAsia="Calibri" w:hAnsi="Times New Roman" w:cs="Times New Roman"/>
              </w:rPr>
              <w:softHyphen/>
              <w:t>ный за</w:t>
            </w:r>
            <w:r>
              <w:rPr>
                <w:rFonts w:ascii="Times New Roman" w:eastAsia="Calibri" w:hAnsi="Times New Roman" w:cs="Times New Roman"/>
              </w:rPr>
              <w:softHyphen/>
            </w:r>
            <w:r w:rsidRPr="009538E6">
              <w:rPr>
                <w:rFonts w:ascii="Times New Roman" w:eastAsia="Calibri" w:hAnsi="Times New Roman" w:cs="Times New Roman"/>
              </w:rPr>
              <w:t>вод», «Вер</w:t>
            </w:r>
            <w:r w:rsidRPr="009538E6">
              <w:rPr>
                <w:rFonts w:ascii="Times New Roman" w:eastAsia="Calibri" w:hAnsi="Times New Roman" w:cs="Times New Roman"/>
              </w:rPr>
              <w:softHyphen/>
              <w:t>текс», «Ге</w:t>
            </w:r>
            <w:r>
              <w:rPr>
                <w:rFonts w:ascii="Times New Roman" w:eastAsia="Calibri" w:hAnsi="Times New Roman" w:cs="Times New Roman"/>
              </w:rPr>
              <w:softHyphen/>
            </w:r>
            <w:r w:rsidRPr="009538E6">
              <w:rPr>
                <w:rFonts w:ascii="Times New Roman" w:eastAsia="Calibri" w:hAnsi="Times New Roman" w:cs="Times New Roman"/>
              </w:rPr>
              <w:t>ро</w:t>
            </w:r>
            <w:r w:rsidRPr="009538E6">
              <w:rPr>
                <w:rFonts w:ascii="Times New Roman" w:eastAsia="Calibri" w:hAnsi="Times New Roman" w:cs="Times New Roman"/>
              </w:rPr>
              <w:softHyphen/>
              <w:t>фарм», «Мир-фарм», «Вектор-ме</w:t>
            </w:r>
            <w:r>
              <w:rPr>
                <w:rFonts w:ascii="Times New Roman" w:eastAsia="Calibri" w:hAnsi="Times New Roman" w:cs="Times New Roman"/>
              </w:rPr>
              <w:softHyphen/>
            </w:r>
            <w:r w:rsidRPr="009538E6">
              <w:rPr>
                <w:rFonts w:ascii="Times New Roman" w:eastAsia="Calibri" w:hAnsi="Times New Roman" w:cs="Times New Roman"/>
              </w:rPr>
              <w:t>дика», «Славян</w:t>
            </w:r>
            <w:r w:rsidRPr="009538E6">
              <w:rPr>
                <w:rFonts w:ascii="Times New Roman" w:eastAsia="Calibri" w:hAnsi="Times New Roman" w:cs="Times New Roman"/>
              </w:rPr>
              <w:softHyphen/>
              <w:t>ская аптека»</w:t>
            </w:r>
          </w:p>
        </w:tc>
        <w:tc>
          <w:tcPr>
            <w:tcW w:w="2835"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796E0D">
              <w:rPr>
                <w:rFonts w:ascii="Times New Roman" w:eastAsia="Calibri" w:hAnsi="Times New Roman" w:cs="Times New Roman"/>
              </w:rPr>
              <w:t>Фирмы, известные главным образом внедрением инноваций, но превосходящие 4-ю группу по исследованиям</w:t>
            </w:r>
          </w:p>
        </w:tc>
        <w:tc>
          <w:tcPr>
            <w:tcW w:w="1843"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Высокая</w:t>
            </w:r>
          </w:p>
        </w:tc>
      </w:tr>
      <w:tr w:rsidR="001B6DE2" w:rsidTr="00CF73CA">
        <w:tc>
          <w:tcPr>
            <w:tcW w:w="988"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4</w:t>
            </w:r>
          </w:p>
        </w:tc>
        <w:tc>
          <w:tcPr>
            <w:tcW w:w="1417"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2</w:t>
            </w:r>
          </w:p>
        </w:tc>
        <w:tc>
          <w:tcPr>
            <w:tcW w:w="2126"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«Биокад»</w:t>
            </w:r>
          </w:p>
        </w:tc>
        <w:tc>
          <w:tcPr>
            <w:tcW w:w="2835"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796E0D">
              <w:rPr>
                <w:rFonts w:ascii="Times New Roman" w:eastAsia="Calibri" w:hAnsi="Times New Roman" w:cs="Times New Roman"/>
              </w:rPr>
              <w:t>Очень современная компания со своими нестандартными лекарствами.</w:t>
            </w:r>
          </w:p>
        </w:tc>
        <w:tc>
          <w:tcPr>
            <w:tcW w:w="1843"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Очень высокая</w:t>
            </w:r>
          </w:p>
        </w:tc>
      </w:tr>
      <w:tr w:rsidR="001B6DE2" w:rsidTr="00CF73CA">
        <w:tc>
          <w:tcPr>
            <w:tcW w:w="988"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5</w:t>
            </w:r>
          </w:p>
        </w:tc>
        <w:tc>
          <w:tcPr>
            <w:tcW w:w="1417"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1</w:t>
            </w:r>
          </w:p>
        </w:tc>
        <w:tc>
          <w:tcPr>
            <w:tcW w:w="2126"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«Канонфарма продакшн»</w:t>
            </w:r>
          </w:p>
        </w:tc>
        <w:tc>
          <w:tcPr>
            <w:tcW w:w="2835" w:type="dxa"/>
          </w:tcPr>
          <w:p w:rsidR="001B6DE2" w:rsidRPr="009538E6" w:rsidRDefault="001B6DE2" w:rsidP="00CF73C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Используется</w:t>
            </w:r>
            <w:r w:rsidRPr="00796E0D">
              <w:rPr>
                <w:rFonts w:ascii="Times New Roman" w:eastAsia="Calibri" w:hAnsi="Times New Roman" w:cs="Times New Roman"/>
              </w:rPr>
              <w:t xml:space="preserve"> собственные высокотехнологичные разработки и прин</w:t>
            </w:r>
            <w:r>
              <w:rPr>
                <w:rFonts w:ascii="Times New Roman" w:eastAsia="Calibri" w:hAnsi="Times New Roman" w:cs="Times New Roman"/>
              </w:rPr>
              <w:t>имает</w:t>
            </w:r>
            <w:r w:rsidRPr="00796E0D">
              <w:rPr>
                <w:rFonts w:ascii="Times New Roman" w:eastAsia="Calibri" w:hAnsi="Times New Roman" w:cs="Times New Roman"/>
              </w:rPr>
              <w:t xml:space="preserve"> агрессивную стратегию по расширению доступа к непатентованным лекарствам.</w:t>
            </w:r>
          </w:p>
        </w:tc>
        <w:tc>
          <w:tcPr>
            <w:tcW w:w="1843"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Средняя</w:t>
            </w:r>
          </w:p>
        </w:tc>
      </w:tr>
      <w:tr w:rsidR="001B6DE2" w:rsidTr="00CF73CA">
        <w:tc>
          <w:tcPr>
            <w:tcW w:w="988" w:type="dxa"/>
          </w:tcPr>
          <w:p w:rsidR="001B6DE2" w:rsidRPr="009538E6" w:rsidRDefault="001B6DE2" w:rsidP="00CF73C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Итог</w:t>
            </w:r>
          </w:p>
        </w:tc>
        <w:tc>
          <w:tcPr>
            <w:tcW w:w="1417"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50</w:t>
            </w:r>
          </w:p>
        </w:tc>
        <w:tc>
          <w:tcPr>
            <w:tcW w:w="2126"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w:t>
            </w:r>
          </w:p>
        </w:tc>
        <w:tc>
          <w:tcPr>
            <w:tcW w:w="2835"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w:t>
            </w:r>
          </w:p>
        </w:tc>
        <w:tc>
          <w:tcPr>
            <w:tcW w:w="1843" w:type="dxa"/>
          </w:tcPr>
          <w:p w:rsidR="001B6DE2" w:rsidRPr="009538E6" w:rsidRDefault="001B6DE2" w:rsidP="00CF73CA">
            <w:pPr>
              <w:autoSpaceDE w:val="0"/>
              <w:autoSpaceDN w:val="0"/>
              <w:adjustRightInd w:val="0"/>
              <w:jc w:val="center"/>
              <w:rPr>
                <w:rFonts w:ascii="Times New Roman" w:eastAsia="Calibri" w:hAnsi="Times New Roman" w:cs="Times New Roman"/>
              </w:rPr>
            </w:pPr>
            <w:r w:rsidRPr="009538E6">
              <w:rPr>
                <w:rFonts w:ascii="Times New Roman" w:eastAsia="Calibri" w:hAnsi="Times New Roman" w:cs="Times New Roman"/>
              </w:rPr>
              <w:t>-</w:t>
            </w:r>
          </w:p>
        </w:tc>
      </w:tr>
    </w:tbl>
    <w:p w:rsidR="001B6DE2" w:rsidRPr="00C36631" w:rsidRDefault="001B6DE2" w:rsidP="001B6DE2">
      <w:pPr>
        <w:autoSpaceDE w:val="0"/>
        <w:autoSpaceDN w:val="0"/>
        <w:adjustRightInd w:val="0"/>
        <w:spacing w:after="0" w:line="360" w:lineRule="auto"/>
        <w:jc w:val="both"/>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На основании проведенного обзора рынка можно сделать вывод, что фармацевтический сектор в большей своей части демонстрирует сдержанное участие в разработке новых медикаментозных продуктов. Компании этой отрасли часто оказываются отделены от процесса клинического тестирования препаратов. Это влияет на их способность к инновациям и приводит к тому, что уровень их инновационной деятельности остается на невысоком уровне. Такая позиция производителей фармацевтических товаров отражает ограниченный вклад в прогресс и развитие новых лекарственных средств, которые могли бы улучшить здоровье и качество жизни пациентов.</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Энергетика является определяющим сектором для роста экономики и укрепления энергетической независимости нации. В последнее время наблюдается значительное усиление инновационной динамики, особенно в сегменте альтернативной энергетики и повышения энергоэффективности. Российские энергокомпании уделяют пристальное внимание разработке и адаптации прогрессивных решений для генерации электроэнергии через использование солнечных и ветреных источников, способствуют оптимизации потребления ресурсов и стремятся к минимизации выбросов парниковых газов.</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Один из ярчайших примеров инновационных прорывов в энергетическом секторе это создание и функционирование первой плавучей атомной станции "Аккую", чьё рождение является заслугой российских инженеров и строителей. Этот проект открывает новые горизонты в области энергоснабжения, облегчая доступ к электричеству там, где традиционные подходы неэффективны или вообще невозможны. "Аккую" не только подчеркивает растущую роль энергетических инноваций, но и демонстрирует российскую способность быть в авангарде высоких технологий, устремлённых на удовлетворение потребностей даже в самых уединенных и не </w:t>
      </w:r>
      <w:r>
        <w:rPr>
          <w:rFonts w:ascii="Times New Roman" w:eastAsia="Calibri" w:hAnsi="Times New Roman" w:cs="Times New Roman"/>
          <w:sz w:val="28"/>
          <w:szCs w:val="28"/>
        </w:rPr>
        <w:t xml:space="preserve">очень доступных уголках страны </w:t>
      </w:r>
      <w:r w:rsidRPr="00C36631">
        <w:rPr>
          <w:rFonts w:ascii="Times New Roman" w:eastAsia="Calibri" w:hAnsi="Times New Roman" w:cs="Times New Roman"/>
          <w:sz w:val="28"/>
          <w:szCs w:val="28"/>
        </w:rPr>
        <w:t>[70].</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lastRenderedPageBreak/>
        <w:t>Агропромышленный комплекс является стержнем продовольственной стабильности любого государства. От того, насколько эффективно функционируют отрасли, занимающиеся выращиванием и переработкой продуктов, зависит не только насыщенность рынка качественной и доступной пищей, но и экономическое здоровье страны. Применение инновационных подходов является катализатором для повышения урожайности и качества продукции. Среди технологических прорывов стоит выделить гидропонику и вертикальное земледелие, позволяющие обходиться без традиционной земледельческой земли и развертывать производство даже в условиях ограниченного пространства.</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Вопреки многочисленным преимуществам инноваций, агропромышленный комплекс сталкивается с рядом серьезных вызовов. Изменения климата, острый дефицит воды, широкое распространение химических средств защиты растений, а также зачастую устаревшая инфраструктура в сельских и отдаленных районах - все это требует незамедлительного вмешательства и поиска новых решений. </w:t>
      </w:r>
    </w:p>
    <w:p w:rsidR="001B6DE2" w:rsidRPr="00C36631"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Исходя из текущей тенденции, очевиден рост инновационной динамики в России, но при этом наблюдается дифференциация по отраслям с точки зрения их потребности в усиленной поддержке. Вкладывание средств в инновационные процессы и активное содействие инновационному предпринимательству могут сыграть решающую роль для дальнейшего роста этого сектора в экономике страны.</w:t>
      </w:r>
    </w:p>
    <w:p w:rsidR="001B6DE2" w:rsidRPr="00C36631"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Принимая во внимание опыт секторов информационных технологий, фармацевтики и энергетики, нам становится очевидным богатство инновационных решений, а также проблемы, с которыми сталкиваются компании на пути внедрения новшеств. Чтобы стимулировать развитие инновационной среды и способствовать процветанию инновационного бизнеса, необходимо принять шаги к формированию и дальнейшему внедрению эффективных финансовых инструментов, политик поддержки, а </w:t>
      </w:r>
      <w:r w:rsidRPr="00C36631">
        <w:rPr>
          <w:rFonts w:ascii="Times New Roman" w:eastAsia="Calibri" w:hAnsi="Times New Roman" w:cs="Times New Roman"/>
          <w:sz w:val="28"/>
          <w:szCs w:val="28"/>
        </w:rPr>
        <w:lastRenderedPageBreak/>
        <w:t xml:space="preserve">также к модернизации образовательной инфраструктуры и созданию сильной материально-технической базы </w:t>
      </w:r>
      <w:r>
        <w:rPr>
          <w:rFonts w:ascii="Times New Roman" w:eastAsia="Calibri" w:hAnsi="Times New Roman" w:cs="Times New Roman"/>
          <w:sz w:val="28"/>
          <w:szCs w:val="28"/>
        </w:rPr>
        <w:t>для инновационной деятельности.</w:t>
      </w:r>
    </w:p>
    <w:p w:rsidR="001B6DE2" w:rsidRPr="00C36631"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Поддержка инноваций должна стать системной и целенаправленной. Инвестиции в научные исследования и разработки, обеспечение государственной помощи на ранних этапах развития инновационных проектов и укрепление связей между научными организациями и производственным сектором помогут стимулировать инновационную активность и, в конечном счете, способствовать экономическому росту страны.</w:t>
      </w:r>
    </w:p>
    <w:p w:rsidR="001B6DE2" w:rsidRPr="00C36631"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b/>
          <w:color w:val="FF0000"/>
          <w:sz w:val="28"/>
          <w:szCs w:val="28"/>
        </w:rPr>
      </w:pPr>
      <w:r w:rsidRPr="00117327">
        <w:rPr>
          <w:rFonts w:ascii="Times New Roman" w:eastAsia="Calibri" w:hAnsi="Times New Roman" w:cs="Times New Roman"/>
          <w:b/>
          <w:sz w:val="28"/>
          <w:szCs w:val="28"/>
        </w:rPr>
        <w:t>2.2 Оценка динамики инновационного предпринимательства в регионах</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b/>
          <w:sz w:val="28"/>
          <w:szCs w:val="28"/>
        </w:rPr>
      </w:pP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Исследования экономических процессов неизменно показывают важность инноваций для регионального развития. Введение новшеств служит мотором роста и предоставляет дополнительные защитные барьеры при экономических потрясениях. Однако, несмотря на стремление государств к усилению инновационного потенциала, разные регионы России показывают различный уровень прогресса в этой области. Несколько из них занимают ведущие позиции, в то время как другие еще только стремятся нарастить свою активность.</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Данный аналитический раздел нацелен на всесторонний анализ и отслеживание развития инновационного предпринимательства на территории российских регионов. Особое внимание уделяется тенденциям, которые преобладают в данной области, а также на присущие им проблематики.</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Так поддержка инновационного развития в регионах реализуется на основе программы «Территория инноваций» [9]. Данный проект является инициативой Фонда Росконгресс, созданной как платформа для эффективного взаимодействия, дебатов и анализа актуальных тенденций, в которых участвуют признанные специалисты в сфере новшеств и преобразований в цифровизации. Этот уникальный проект создает условия для объединения </w:t>
      </w:r>
      <w:r w:rsidRPr="00C36631">
        <w:rPr>
          <w:rFonts w:ascii="Times New Roman" w:eastAsia="Calibri" w:hAnsi="Times New Roman" w:cs="Times New Roman"/>
          <w:sz w:val="28"/>
          <w:szCs w:val="28"/>
        </w:rPr>
        <w:lastRenderedPageBreak/>
        <w:t>усилий не только государственных учреждений, но и лидеров технологического бизнеса, инвестиционных организаций, институтов развития и бизнес-акселераторов. Кроме того, он дает возможность для самореализации и обмена опытом предпринимателям, начинающим разработчикам стартапов, новаторам, профессионалам-менторам и представителям медиасферы.</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Программа демонстрирует положительную динамику развития, что подтверждается увеличением значений основных показателей, отражающих ее эффективность (рисунок 11).</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jc w:val="both"/>
        <w:rPr>
          <w:rFonts w:ascii="Times New Roman" w:eastAsia="Calibri" w:hAnsi="Times New Roman" w:cs="Times New Roman"/>
          <w:sz w:val="28"/>
          <w:szCs w:val="28"/>
        </w:rPr>
      </w:pPr>
      <w:r w:rsidRPr="00C36631">
        <w:rPr>
          <w:noProof/>
          <w:lang w:eastAsia="ru-RU"/>
        </w:rPr>
        <w:drawing>
          <wp:inline distT="0" distB="0" distL="0" distR="0" wp14:anchorId="7C374309" wp14:editId="6F139C77">
            <wp:extent cx="5939790" cy="2928620"/>
            <wp:effectExtent l="0" t="0" r="3810" b="508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6DE2" w:rsidRPr="00C36631" w:rsidRDefault="001B6DE2" w:rsidP="001B6DE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C36631">
        <w:rPr>
          <w:rFonts w:ascii="Times New Roman" w:eastAsia="Calibri" w:hAnsi="Times New Roman" w:cs="Times New Roman"/>
          <w:sz w:val="28"/>
          <w:szCs w:val="28"/>
        </w:rPr>
        <w:t>Рисунок 11 – Динамика основных показателей программы</w:t>
      </w:r>
      <w:r w:rsidRPr="00C36631">
        <w:rPr>
          <w:rFonts w:ascii="Times New Roman" w:eastAsia="Calibri" w:hAnsi="Times New Roman" w:cs="Times New Roman"/>
          <w:sz w:val="28"/>
          <w:szCs w:val="28"/>
        </w:rPr>
        <w:br/>
        <w:t xml:space="preserve">«Территория инноваций» </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Как можно видеть по данным рисунка 10, растет число субъектов РФ, которые осуществляют активные инвестиции в развитие инновационной деятельности в регионе. Также увеличивается число субъектов РФ, которые смогли за последние 10 лет удвоить экспорт высокотехнологичной продукции.</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Проект создания научно-образовательных центров за период с 2019 по 2022 год демонстрирует значительные успехи. За эти годы начало работу 16 центров, причём первые 4 из них получили одобрение для запуска в 2019-м без предварительного отборочного этапа. Выделение центров было проведено </w:t>
      </w:r>
      <w:r w:rsidRPr="00C36631">
        <w:rPr>
          <w:rFonts w:ascii="Times New Roman" w:eastAsia="Calibri" w:hAnsi="Times New Roman" w:cs="Times New Roman"/>
          <w:sz w:val="28"/>
          <w:szCs w:val="28"/>
        </w:rPr>
        <w:lastRenderedPageBreak/>
        <w:t>в регионах, где был наиболее высок потенциал и интерес губернаторов к данной инициативе.</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В частности, Научно-образовательный центр «Кузбасс» в Кемеровской области отмечается как пример высокоразвитой концепции. Здесь успешно удалось определить ключевую специализацию и тщательно разработать задачи с ожидаемыми итогами, что положительно отразилось на проекте. Еще одним примером является Западно-Сибирский научно-образовательный центр, который ассоциируется с тремя регионами: Тюменской областью, Ханты-Мансийским и Ямало-Ненецким автономными округами. Эффективная координация интересов этих территорий и заметное усилие Российского экспортного центра способствовали прозрачности и широкой огласке действий центра [14].</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Наблюдается тенденция, согласно которой регионы активно формулируют свои уникальные направления инновационной деятельности, часто упоминаемые как «умная специализация». Данные направления обеспечивают плодотворное взаимодействие научных учреждений и производственных компаний, и имеют критическое значение для социально-экономического благополучия региона.</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Российские экспортные центры (РЭЦ), как правило, подходят к анализу связей между наукой и промышленностью на базовом уровне, но некоторые из них планируют внедрять цифровые стратегии. Пример тому – Белгородский РЭЦ, стремящийся к созданию научно-производственных площадок, которые будут способствовать кооперации внутри инновационной экосистемы [20].</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Общий анализ показывает, что региональные программы, направленные на инновационное развитие и поддержку инновационного предпринимательства, находят широкое применение в большинстве регионов Российской Федерации. Несмотря на это, статистика отмечает существующий дисбаланс в распределении инновационного производства по территории страны (рисунок 11).</w:t>
      </w:r>
    </w:p>
    <w:p w:rsidR="001B6DE2" w:rsidRPr="00C36631" w:rsidRDefault="001B6DE2" w:rsidP="001B6DE2">
      <w:pPr>
        <w:spacing w:after="4" w:line="250" w:lineRule="auto"/>
        <w:ind w:right="358"/>
        <w:jc w:val="both"/>
        <w:rPr>
          <w:rFonts w:ascii="Times New Roman" w:eastAsia="Times New Roman" w:hAnsi="Times New Roman" w:cs="Times New Roman"/>
          <w:color w:val="000000"/>
          <w:sz w:val="32"/>
          <w:lang w:eastAsia="ru-RU"/>
        </w:rPr>
      </w:pPr>
      <w:r w:rsidRPr="00C36631">
        <w:rPr>
          <w:rFonts w:ascii="Times New Roman" w:eastAsia="Times New Roman" w:hAnsi="Times New Roman" w:cs="Times New Roman"/>
          <w:noProof/>
          <w:color w:val="000000"/>
          <w:sz w:val="32"/>
          <w:lang w:eastAsia="ru-RU"/>
        </w:rPr>
        <w:lastRenderedPageBreak/>
        <w:drawing>
          <wp:inline distT="0" distB="0" distL="0" distR="0" wp14:anchorId="5E666628" wp14:editId="196A0026">
            <wp:extent cx="5991225" cy="4333875"/>
            <wp:effectExtent l="0" t="0" r="9525" b="952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B6DE2" w:rsidRPr="00C36631" w:rsidRDefault="001B6DE2" w:rsidP="001B6DE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C36631">
        <w:rPr>
          <w:rFonts w:ascii="Times New Roman" w:eastAsia="Calibri" w:hAnsi="Times New Roman" w:cs="Times New Roman"/>
          <w:sz w:val="28"/>
          <w:szCs w:val="28"/>
        </w:rPr>
        <w:t>Рисунок 11 - Уровень инновационной активности организаций по субъектам в 2022 году, % [83]</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highlight w:val="yellow"/>
        </w:rPr>
      </w:pPr>
      <w:r w:rsidRPr="006100D1">
        <w:rPr>
          <w:rFonts w:ascii="Times New Roman" w:eastAsia="Calibri" w:hAnsi="Times New Roman" w:cs="Times New Roman"/>
          <w:sz w:val="28"/>
          <w:szCs w:val="28"/>
        </w:rPr>
        <w:t>В Российской Федерации наблюдается выраженное территориальное неравенство в развитии инновационной деятельности. Сравнение федеральных округов показывает, что лидерство в области инноваций прочно удерживают Центральный и Приволжский округа. Они выделяются активностью в создании и применении технологических новинок. В контрасте с этим, федеральные округа, такие как Кавказский и Дальневосточный, показывают заметно более скромные р</w:t>
      </w:r>
      <w:r>
        <w:rPr>
          <w:rFonts w:ascii="Times New Roman" w:eastAsia="Calibri" w:hAnsi="Times New Roman" w:cs="Times New Roman"/>
          <w:sz w:val="28"/>
          <w:szCs w:val="28"/>
        </w:rPr>
        <w:t xml:space="preserve">езультаты в инновационной </w:t>
      </w:r>
      <w:r w:rsidRPr="00E13CED">
        <w:rPr>
          <w:rFonts w:ascii="Times New Roman" w:eastAsia="Calibri" w:hAnsi="Times New Roman" w:cs="Times New Roman"/>
          <w:sz w:val="28"/>
          <w:szCs w:val="28"/>
        </w:rPr>
        <w:t>сфере.</w:t>
      </w:r>
    </w:p>
    <w:p w:rsidR="001B6DE2"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highlight w:val="yellow"/>
        </w:rPr>
      </w:pPr>
      <w:r w:rsidRPr="00E13CED">
        <w:rPr>
          <w:rFonts w:ascii="Times New Roman" w:eastAsia="Calibri" w:hAnsi="Times New Roman" w:cs="Times New Roman"/>
          <w:sz w:val="28"/>
          <w:szCs w:val="28"/>
        </w:rPr>
        <w:t xml:space="preserve">Такой разрыв подчёркивает проблему неравномерного распределения современных производственных мощностей и инновационных ресурсов по территории страны. </w:t>
      </w:r>
    </w:p>
    <w:p w:rsidR="001B6DE2" w:rsidRPr="00E13CED"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E13CED">
        <w:rPr>
          <w:rFonts w:ascii="Times New Roman" w:eastAsia="Calibri" w:hAnsi="Times New Roman" w:cs="Times New Roman"/>
          <w:sz w:val="28"/>
          <w:szCs w:val="28"/>
        </w:rPr>
        <w:t>Данные факты подтверждается и индексом инновационного развития регионов (рис. 2).</w:t>
      </w:r>
    </w:p>
    <w:p w:rsidR="001B6DE2" w:rsidRPr="00172F28"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highlight w:val="yellow"/>
        </w:rPr>
      </w:pPr>
    </w:p>
    <w:p w:rsidR="001B6DE2" w:rsidRPr="00172F28" w:rsidRDefault="001B6DE2" w:rsidP="001B6DE2">
      <w:pPr>
        <w:autoSpaceDE w:val="0"/>
        <w:autoSpaceDN w:val="0"/>
        <w:adjustRightInd w:val="0"/>
        <w:spacing w:after="0" w:line="240" w:lineRule="auto"/>
        <w:jc w:val="both"/>
        <w:rPr>
          <w:rFonts w:ascii="Times New Roman" w:eastAsia="Calibri" w:hAnsi="Times New Roman" w:cs="Times New Roman"/>
          <w:sz w:val="28"/>
          <w:szCs w:val="28"/>
          <w:highlight w:val="yellow"/>
        </w:rPr>
      </w:pPr>
      <w:r w:rsidRPr="00172F28">
        <w:rPr>
          <w:noProof/>
          <w:highlight w:val="yellow"/>
          <w:lang w:eastAsia="ru-RU"/>
        </w:rPr>
        <w:lastRenderedPageBreak/>
        <w:drawing>
          <wp:inline distT="0" distB="0" distL="0" distR="0" wp14:anchorId="12946FB3" wp14:editId="24146799">
            <wp:extent cx="5915025" cy="35242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B6DE2" w:rsidRPr="00E13CED" w:rsidRDefault="001B6DE2" w:rsidP="001B6DE2">
      <w:pPr>
        <w:autoSpaceDE w:val="0"/>
        <w:autoSpaceDN w:val="0"/>
        <w:adjustRightInd w:val="0"/>
        <w:spacing w:after="0" w:line="240" w:lineRule="auto"/>
        <w:jc w:val="center"/>
        <w:rPr>
          <w:rFonts w:ascii="Times New Roman" w:eastAsia="Calibri" w:hAnsi="Times New Roman" w:cs="Times New Roman"/>
          <w:sz w:val="28"/>
          <w:szCs w:val="28"/>
        </w:rPr>
      </w:pPr>
      <w:r w:rsidRPr="00E13CED">
        <w:rPr>
          <w:rFonts w:ascii="Times New Roman" w:eastAsia="Calibri" w:hAnsi="Times New Roman" w:cs="Times New Roman"/>
          <w:sz w:val="28"/>
          <w:szCs w:val="28"/>
        </w:rPr>
        <w:t>Рисунок 12 - Индекс инновационного развития регионов [81]</w:t>
      </w:r>
    </w:p>
    <w:p w:rsidR="001B6DE2" w:rsidRPr="00172F28" w:rsidRDefault="001B6DE2" w:rsidP="001B6DE2">
      <w:pPr>
        <w:autoSpaceDE w:val="0"/>
        <w:autoSpaceDN w:val="0"/>
        <w:adjustRightInd w:val="0"/>
        <w:spacing w:after="0" w:line="360" w:lineRule="auto"/>
        <w:jc w:val="both"/>
        <w:rPr>
          <w:rFonts w:ascii="Times New Roman" w:eastAsia="Calibri" w:hAnsi="Times New Roman" w:cs="Times New Roman"/>
          <w:sz w:val="28"/>
          <w:szCs w:val="28"/>
          <w:highlight w:val="yellow"/>
        </w:rPr>
      </w:pPr>
    </w:p>
    <w:p w:rsidR="001B6DE2" w:rsidRPr="001B6DE2"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r w:rsidRPr="00E13CED">
        <w:rPr>
          <w:rFonts w:ascii="Times New Roman" w:eastAsia="Calibri" w:hAnsi="Times New Roman" w:cs="Times New Roman"/>
          <w:sz w:val="28"/>
          <w:szCs w:val="28"/>
        </w:rPr>
        <w:t xml:space="preserve">Исследование, проведенное экспертами из Высшей школы экономики, озаряет перспективы инновационного пути России, акцентируя внимание на главных аспектах этого процесса. Основные </w:t>
      </w:r>
      <w:bookmarkEnd w:id="0"/>
      <w:r w:rsidRPr="00E13CED">
        <w:rPr>
          <w:rFonts w:ascii="Times New Roman" w:eastAsia="Calibri" w:hAnsi="Times New Roman" w:cs="Times New Roman"/>
          <w:sz w:val="28"/>
          <w:szCs w:val="28"/>
        </w:rPr>
        <w:t xml:space="preserve">выводы исследования указывают на то, что центры инноваций и предпринимательства страны часто совпадают с </w:t>
      </w:r>
      <w:r w:rsidRPr="001B6DE2">
        <w:rPr>
          <w:rFonts w:ascii="Times New Roman" w:eastAsia="Calibri" w:hAnsi="Times New Roman" w:cs="Times New Roman"/>
          <w:sz w:val="28"/>
          <w:szCs w:val="28"/>
        </w:rPr>
        <w:t>наиболее урбанизированными территориями, примером чего служат Москва и Санкт-Петербург – города с развитой инфраструктурой и экономическим потенциалом.</w:t>
      </w:r>
    </w:p>
    <w:p w:rsidR="001B6DE2" w:rsidRPr="001B6DE2"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r w:rsidRPr="001B6DE2">
        <w:rPr>
          <w:rFonts w:ascii="Times New Roman" w:eastAsia="Calibri" w:hAnsi="Times New Roman" w:cs="Times New Roman"/>
          <w:sz w:val="28"/>
          <w:szCs w:val="28"/>
        </w:rPr>
        <w:t>В таблице 3 представлены распределение оценок рецензентов, касающиеся степени влияния разнообразных факторов на инновационную деятельность в различных регионах.</w:t>
      </w:r>
      <w:r w:rsidRPr="001B6DE2">
        <w:t xml:space="preserve"> </w:t>
      </w:r>
      <w:r w:rsidRPr="001B6DE2">
        <w:rPr>
          <w:rFonts w:ascii="Times New Roman" w:eastAsia="Calibri" w:hAnsi="Times New Roman" w:cs="Times New Roman"/>
          <w:sz w:val="28"/>
          <w:szCs w:val="28"/>
        </w:rPr>
        <w:t>Внешние экономические санкции занимают первое место по силе своего эффекта. На втором месте по важности это - создание льготных условий для инвесторов. При этом коррупция также играет важную роль, занимая третье место среди всех факторов. Данные оценки становятся главной частью проведенного анализа, отразившего специфику и масштабы инновационного процесса на территории Российской Федерации. [10].</w:t>
      </w:r>
    </w:p>
    <w:p w:rsidR="001B6DE2" w:rsidRPr="001B6DE2" w:rsidRDefault="001B6DE2" w:rsidP="001B6DE2">
      <w:pPr>
        <w:autoSpaceDE w:val="0"/>
        <w:autoSpaceDN w:val="0"/>
        <w:adjustRightInd w:val="0"/>
        <w:spacing w:after="0" w:line="240" w:lineRule="auto"/>
        <w:jc w:val="both"/>
        <w:rPr>
          <w:rFonts w:ascii="Times New Roman" w:eastAsia="Calibri" w:hAnsi="Times New Roman" w:cs="Times New Roman"/>
          <w:sz w:val="28"/>
          <w:szCs w:val="28"/>
        </w:rPr>
      </w:pPr>
      <w:r w:rsidRPr="001B6DE2">
        <w:rPr>
          <w:noProof/>
          <w:lang w:eastAsia="ru-RU"/>
        </w:rPr>
        <w:lastRenderedPageBreak/>
        <w:drawing>
          <wp:inline distT="0" distB="0" distL="0" distR="0" wp14:anchorId="5411B935" wp14:editId="2D268EEA">
            <wp:extent cx="5939790" cy="5365631"/>
            <wp:effectExtent l="0" t="0" r="0" b="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B6DE2" w:rsidRPr="001B6DE2" w:rsidRDefault="001B6DE2" w:rsidP="001B6DE2">
      <w:pPr>
        <w:autoSpaceDE w:val="0"/>
        <w:autoSpaceDN w:val="0"/>
        <w:adjustRightInd w:val="0"/>
        <w:spacing w:after="0" w:line="240" w:lineRule="auto"/>
        <w:jc w:val="both"/>
        <w:rPr>
          <w:rFonts w:ascii="Times New Roman" w:eastAsia="Calibri" w:hAnsi="Times New Roman" w:cs="Times New Roman"/>
          <w:sz w:val="28"/>
          <w:szCs w:val="28"/>
        </w:rPr>
      </w:pPr>
    </w:p>
    <w:p w:rsidR="001B6DE2" w:rsidRPr="001B6DE2" w:rsidRDefault="001B6DE2" w:rsidP="001B6DE2">
      <w:pPr>
        <w:autoSpaceDE w:val="0"/>
        <w:autoSpaceDN w:val="0"/>
        <w:adjustRightInd w:val="0"/>
        <w:spacing w:after="0" w:line="360" w:lineRule="auto"/>
        <w:ind w:firstLine="709"/>
        <w:jc w:val="center"/>
        <w:rPr>
          <w:rFonts w:ascii="Times New Roman" w:eastAsia="Calibri" w:hAnsi="Times New Roman" w:cs="Times New Roman"/>
          <w:sz w:val="28"/>
          <w:szCs w:val="28"/>
        </w:rPr>
      </w:pPr>
      <w:r w:rsidRPr="001B6DE2">
        <w:rPr>
          <w:rFonts w:ascii="Times New Roman" w:eastAsia="Calibri" w:hAnsi="Times New Roman" w:cs="Times New Roman"/>
          <w:sz w:val="28"/>
          <w:szCs w:val="28"/>
        </w:rPr>
        <w:t>Рисунок 13 - Распределение оценок факторов, влияющих на инновации и предпринимательство в регионах [10]</w:t>
      </w:r>
    </w:p>
    <w:p w:rsidR="001B6DE2" w:rsidRPr="001B6DE2" w:rsidRDefault="001B6DE2" w:rsidP="001B6DE2">
      <w:pPr>
        <w:autoSpaceDE w:val="0"/>
        <w:autoSpaceDN w:val="0"/>
        <w:adjustRightInd w:val="0"/>
        <w:spacing w:after="0" w:line="360" w:lineRule="auto"/>
        <w:ind w:firstLine="709"/>
        <w:jc w:val="center"/>
        <w:rPr>
          <w:rFonts w:ascii="Times New Roman" w:eastAsia="Calibri" w:hAnsi="Times New Roman" w:cs="Times New Roman"/>
          <w:sz w:val="28"/>
          <w:szCs w:val="28"/>
        </w:rPr>
      </w:pPr>
    </w:p>
    <w:p w:rsidR="001B6DE2" w:rsidRPr="00D3210E"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highlight w:val="yellow"/>
        </w:rPr>
      </w:pPr>
      <w:r w:rsidRPr="001B6DE2">
        <w:rPr>
          <w:rFonts w:ascii="Times New Roman" w:eastAsia="Calibri" w:hAnsi="Times New Roman" w:cs="Times New Roman"/>
          <w:sz w:val="28"/>
          <w:szCs w:val="28"/>
        </w:rPr>
        <w:t>Помимо уже озвученных факторов, крайне важна и политическая ситуация в стране, которая является краеугольным камнем для успешного инновационного прогресса, так как её отсутствие порождает неуверенность среди инвесторов. Поддержка</w:t>
      </w:r>
      <w:r w:rsidRPr="00D3210E">
        <w:rPr>
          <w:rFonts w:ascii="Times New Roman" w:eastAsia="Calibri" w:hAnsi="Times New Roman" w:cs="Times New Roman"/>
          <w:sz w:val="28"/>
          <w:szCs w:val="28"/>
        </w:rPr>
        <w:t xml:space="preserve"> со стороны государственных структур, включающая в себя налоговые послабления и различные льготы, предоставляемые предприятиям, осуществляющим инновационные вложения, существенно содействует формированию идеальной обстановки для развития нововведений.</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Подводя итог</w:t>
      </w:r>
      <w:r w:rsidRPr="00C36631">
        <w:rPr>
          <w:rFonts w:ascii="Times New Roman" w:eastAsia="Calibri" w:hAnsi="Times New Roman" w:cs="Times New Roman"/>
          <w:sz w:val="28"/>
          <w:szCs w:val="28"/>
        </w:rPr>
        <w:t>, комплексное взаимодействие политических</w:t>
      </w:r>
      <w:r>
        <w:rPr>
          <w:rFonts w:ascii="Times New Roman" w:eastAsia="Calibri" w:hAnsi="Times New Roman" w:cs="Times New Roman"/>
          <w:sz w:val="28"/>
          <w:szCs w:val="28"/>
        </w:rPr>
        <w:t xml:space="preserve"> и</w:t>
      </w:r>
      <w:r w:rsidRPr="00C36631">
        <w:rPr>
          <w:rFonts w:ascii="Times New Roman" w:eastAsia="Calibri" w:hAnsi="Times New Roman" w:cs="Times New Roman"/>
          <w:sz w:val="28"/>
          <w:szCs w:val="28"/>
        </w:rPr>
        <w:t xml:space="preserve"> экономических мероприятий выступает в качестве определяющего фактора для гармоничного развития инновационного предпринимательства на территории Российской Федерации. Создание стабильной и предсказуемой экономической среды способно способствовать росту инноваций и преодолению существующих препятствий на пути реализации инновационных идей и проектов.</w:t>
      </w:r>
    </w:p>
    <w:p w:rsidR="001B6DE2" w:rsidRPr="00C36631" w:rsidRDefault="001B6DE2" w:rsidP="001B6DE2">
      <w:pPr>
        <w:autoSpaceDE w:val="0"/>
        <w:autoSpaceDN w:val="0"/>
        <w:adjustRightInd w:val="0"/>
        <w:spacing w:after="0" w:line="360" w:lineRule="auto"/>
        <w:jc w:val="both"/>
        <w:rPr>
          <w:rFonts w:ascii="Times New Roman" w:eastAsia="Calibri" w:hAnsi="Times New Roman" w:cs="Times New Roman"/>
          <w:sz w:val="28"/>
          <w:szCs w:val="28"/>
        </w:rPr>
      </w:pPr>
    </w:p>
    <w:p w:rsidR="001B6DE2" w:rsidRPr="00117327" w:rsidRDefault="001B6DE2" w:rsidP="001B6DE2">
      <w:pPr>
        <w:autoSpaceDE w:val="0"/>
        <w:autoSpaceDN w:val="0"/>
        <w:adjustRightInd w:val="0"/>
        <w:spacing w:after="0" w:line="360" w:lineRule="auto"/>
        <w:ind w:firstLine="709"/>
        <w:jc w:val="both"/>
        <w:rPr>
          <w:rFonts w:ascii="Times New Roman" w:eastAsia="Calibri" w:hAnsi="Times New Roman" w:cs="Times New Roman"/>
          <w:b/>
          <w:color w:val="FF0000"/>
          <w:sz w:val="28"/>
          <w:szCs w:val="28"/>
        </w:rPr>
      </w:pPr>
      <w:r w:rsidRPr="00117327">
        <w:rPr>
          <w:rFonts w:ascii="Times New Roman" w:eastAsia="Calibri" w:hAnsi="Times New Roman" w:cs="Times New Roman"/>
          <w:b/>
          <w:sz w:val="28"/>
          <w:szCs w:val="28"/>
        </w:rPr>
        <w:t>2.3 Анализ эффективности действующих финансовых инструментов стимулирования инновационного бизнеса</w:t>
      </w:r>
    </w:p>
    <w:p w:rsidR="001B6DE2" w:rsidRPr="00C36631" w:rsidRDefault="001B6DE2" w:rsidP="001B6DE2">
      <w:pPr>
        <w:autoSpaceDE w:val="0"/>
        <w:autoSpaceDN w:val="0"/>
        <w:adjustRightInd w:val="0"/>
        <w:spacing w:after="0" w:line="360" w:lineRule="auto"/>
        <w:jc w:val="both"/>
        <w:rPr>
          <w:rFonts w:ascii="Times New Roman" w:eastAsia="Calibri" w:hAnsi="Times New Roman" w:cs="Times New Roman"/>
          <w:b/>
          <w:sz w:val="28"/>
          <w:szCs w:val="28"/>
        </w:rPr>
      </w:pP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В этом анализе затрагивается ключевая роль четырех главных финансовых инструментов в поддержке инновационного предпринимательства в России: грантов, субсидий, льготного кредитования и налоговых льгот. Цель — обозначить и исследовать их эффективность, а также выявить существующие в системе трудности.</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Гранты являются одним из основных инструментов государственной поддержки инноваций. Они предоставляются на конкурсной основе и предназначены для финансирования исследований, разработок, технологических инноваций и других проектов с высоким потенциалом коммерциализации. Однако, проведенный анализ показал, что гранты имеют следующие проблемы:</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Из-за ограниченности финансирования и большого числа заявок, конкуренция за гранты остается очень высокой. Многие инновационные проекты остаются без финансирования из-за недостаточного количества доступных грантов. Это создает неравные условия для инновационных предприятий и может ограничить развитие инноваций в регионе.</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Процесс принятия решения о выдаче грантов может занимать значительное время. Длительность ожидания финансирования может стать серьезным ограничением для инновационных предприятий, особенно для тех, </w:t>
      </w:r>
      <w:r w:rsidRPr="00C36631">
        <w:rPr>
          <w:rFonts w:ascii="Times New Roman" w:eastAsia="Calibri" w:hAnsi="Times New Roman" w:cs="Times New Roman"/>
          <w:sz w:val="28"/>
          <w:szCs w:val="28"/>
        </w:rPr>
        <w:lastRenderedPageBreak/>
        <w:t>которым требуется оперативная поддержка для продолжения работ и развития проекта.</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Получение гранта обычно связано с жесткими условиями использования средств. Это может ограничивать гибкость предприятий в расходовании полученных средств и адаптации к изменяющимся условиям. Инновационным предприятиям может потребоваться большая гибкость в расходовании средств для эффективного управления и развития проектов.</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Субсидии могут быть направлены на определенные виды расходов, такие как научные исследования, внедрение технологий или обучение персонала. Однако, анализ показал следующие проблемы в использовании субсидий:</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Процедура получения субсидий может быть сложной и требовать значительного количества времени и усилий. Для инновационных предприятий, особенно для малых и средних, это может быть значительным препятствием и отталкивать от использования данного финансового инструмента.</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Распределение субсидий между отраслями и регионами может быть неравномерным. Это может привести к неравным условиям развития инноваций и нерациональному использованию средств. Необходимо более справедливое и эффективное распределение субсидий для поддержки инновационного бизнеса во всех отраслях и регионах.</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Субсидии обычно предоставляются на ограниченный период времени. Это ограничение может быть недостаточным для полноценного развития и коммерциализации инновационных проектов. Необходимо предусмотреть возможность долгосрочной поддержки предприятий, чтобы обеспечить их стабильное функционирование и развитие.</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Льготные кредиты являются еще одним инструментом стимулирования инноваций, предоставляемым государством. Они предоставляются с более низкими процентными ставками или более гибкими условиями возврата. Однако, проведенный анализ выявил следующие проблемы:</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lastRenderedPageBreak/>
        <w:t>Процедура получения льготного кредита может быть сложной и требовать значительного количества времени и ресурсов. Для многих инновационных предприятий это может быть значительным барьером для использования данного инструмента стимулирования.</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Объем доступных средств для предоставления льготных кредитов может быть ограничен. Это может ограничить возможности инновационных предприятий получить финансирование для реализации проектов и ограничить развитие инноваций.</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Льготные кредиты могут быть предоставлены с ограничениями на использование средств. Это может ограничивать гибкость предприятий в расходовании средств для развития проектов и препятствовать их коммерциализации.</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Налоговые льготы являются формой финансовой поддержки, предоставляемой через снижение налоговых платежей для инновационных предприятий. Они направлены на стимулирование инноваций и создание благоприятного налогового окружения. Однако, проведенный анализ выявил следующие проблемы:</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Налоговые льготы часто требуют подробных знаний о законодательстве и налоговых правилах. Однако, многие инновационные предприятия могут не иметь достаточной информационной поддержки, чтобы полностью воспользоваться ими. Необходимо улучшить информированность и доступность информации о налоговых льготах для инновационных предприятий.</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Процедура получения налоговых льгот может быть сложной и требовать значительного количества времени и усилий. Это может быть отталкивающим фактором для инновационных предприятий, особенно для малых и средних, и препятствовать использованию данного инструмента.</w:t>
      </w:r>
    </w:p>
    <w:p w:rsidR="001B6DE2" w:rsidRPr="00C36631" w:rsidRDefault="001B6DE2" w:rsidP="001B6DE2">
      <w:pPr>
        <w:autoSpaceDE w:val="0"/>
        <w:autoSpaceDN w:val="0"/>
        <w:adjustRightInd w:val="0"/>
        <w:spacing w:after="0" w:line="360" w:lineRule="auto"/>
        <w:ind w:firstLine="709"/>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Налоговые льготы могут иметь ограниченный период действия. Это может ограничивать долгосрочное планирование и развитие инновационных </w:t>
      </w:r>
      <w:r w:rsidRPr="00C36631">
        <w:rPr>
          <w:rFonts w:ascii="Times New Roman" w:eastAsia="Calibri" w:hAnsi="Times New Roman" w:cs="Times New Roman"/>
          <w:sz w:val="28"/>
          <w:szCs w:val="28"/>
        </w:rPr>
        <w:lastRenderedPageBreak/>
        <w:t>проектов. Необходимо обеспечить более стабильное и продолжительное действие налоговых льгот для поддержки инновационного бизнеса.</w:t>
      </w: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Default="001B6DE2" w:rsidP="001B6DE2">
      <w:pPr>
        <w:spacing w:after="0" w:line="360" w:lineRule="auto"/>
        <w:jc w:val="both"/>
      </w:pPr>
    </w:p>
    <w:p w:rsidR="001B6DE2" w:rsidRDefault="001B6DE2" w:rsidP="001B6DE2">
      <w:pPr>
        <w:spacing w:after="0" w:line="360" w:lineRule="auto"/>
        <w:jc w:val="both"/>
      </w:pPr>
    </w:p>
    <w:p w:rsidR="001B6DE2" w:rsidRDefault="001B6DE2" w:rsidP="001B6DE2">
      <w:pPr>
        <w:spacing w:after="0" w:line="360" w:lineRule="auto"/>
        <w:jc w:val="both"/>
      </w:pPr>
    </w:p>
    <w:p w:rsidR="001B6DE2" w:rsidRDefault="001B6DE2" w:rsidP="001B6DE2">
      <w:pPr>
        <w:spacing w:after="0" w:line="360" w:lineRule="auto"/>
        <w:jc w:val="both"/>
      </w:pPr>
    </w:p>
    <w:p w:rsidR="001B6DE2" w:rsidRDefault="001B6DE2" w:rsidP="001B6DE2">
      <w:pPr>
        <w:spacing w:after="0" w:line="360" w:lineRule="auto"/>
        <w:jc w:val="both"/>
      </w:pPr>
    </w:p>
    <w:p w:rsidR="001B6DE2"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C36631" w:rsidRDefault="001B6DE2" w:rsidP="001B6DE2">
      <w:pPr>
        <w:spacing w:after="0" w:line="360" w:lineRule="auto"/>
        <w:jc w:val="both"/>
      </w:pPr>
    </w:p>
    <w:p w:rsidR="001B6DE2" w:rsidRPr="00117327" w:rsidRDefault="001B6DE2" w:rsidP="001B6DE2">
      <w:pPr>
        <w:spacing w:after="0" w:line="360" w:lineRule="auto"/>
        <w:ind w:firstLine="709"/>
        <w:jc w:val="both"/>
        <w:textAlignment w:val="baseline"/>
        <w:rPr>
          <w:rFonts w:ascii="Times New Roman" w:eastAsia="Times New Roman" w:hAnsi="Times New Roman" w:cs="Times New Roman"/>
          <w:b/>
          <w:sz w:val="28"/>
          <w:szCs w:val="28"/>
          <w:lang w:eastAsia="ru-RU"/>
        </w:rPr>
      </w:pPr>
      <w:r w:rsidRPr="00117327">
        <w:rPr>
          <w:rFonts w:ascii="Times New Roman" w:eastAsia="Times New Roman" w:hAnsi="Times New Roman" w:cs="Times New Roman"/>
          <w:b/>
          <w:sz w:val="28"/>
          <w:szCs w:val="28"/>
          <w:lang w:eastAsia="ru-RU"/>
        </w:rPr>
        <w:lastRenderedPageBreak/>
        <w:t>3 Направления по совершенствованию финансовых инструментов стимулирования инновационного бизнеса в российской экономике</w:t>
      </w:r>
    </w:p>
    <w:p w:rsidR="001B6DE2" w:rsidRPr="00117327" w:rsidRDefault="001B6DE2" w:rsidP="001B6DE2">
      <w:pPr>
        <w:spacing w:after="0" w:line="360" w:lineRule="auto"/>
        <w:ind w:firstLine="709"/>
        <w:jc w:val="both"/>
        <w:textAlignment w:val="baseline"/>
        <w:rPr>
          <w:rFonts w:ascii="Times New Roman" w:eastAsia="Times New Roman" w:hAnsi="Times New Roman" w:cs="Times New Roman"/>
          <w:b/>
          <w:sz w:val="28"/>
          <w:szCs w:val="28"/>
          <w:lang w:eastAsia="ru-RU"/>
        </w:rPr>
      </w:pPr>
    </w:p>
    <w:p w:rsidR="001B6DE2" w:rsidRPr="00117327" w:rsidRDefault="001B6DE2" w:rsidP="001B6DE2">
      <w:pPr>
        <w:spacing w:after="0" w:line="360" w:lineRule="auto"/>
        <w:ind w:firstLine="709"/>
        <w:jc w:val="both"/>
        <w:textAlignment w:val="baseline"/>
        <w:rPr>
          <w:rFonts w:ascii="Segoe UI" w:eastAsia="Times New Roman" w:hAnsi="Segoe UI" w:cs="Segoe UI"/>
          <w:b/>
          <w:sz w:val="18"/>
          <w:szCs w:val="18"/>
          <w:lang w:eastAsia="ru-RU"/>
        </w:rPr>
      </w:pPr>
      <w:r w:rsidRPr="00117327">
        <w:rPr>
          <w:rFonts w:ascii="Times New Roman" w:eastAsia="Times New Roman" w:hAnsi="Times New Roman" w:cs="Times New Roman"/>
          <w:b/>
          <w:sz w:val="28"/>
          <w:szCs w:val="28"/>
          <w:lang w:eastAsia="ru-RU"/>
        </w:rPr>
        <w:t xml:space="preserve">3.1 Рекомендации по совершенствованию механизма субсидирования и грантовой поддержки инновационных разработок </w:t>
      </w:r>
    </w:p>
    <w:p w:rsidR="001B6DE2" w:rsidRPr="00C36631" w:rsidRDefault="001B6DE2" w:rsidP="001B6DE2">
      <w:pPr>
        <w:spacing w:after="0" w:line="360" w:lineRule="auto"/>
        <w:ind w:firstLine="709"/>
        <w:contextualSpacing/>
        <w:jc w:val="both"/>
        <w:rPr>
          <w:rFonts w:ascii="Times New Roman" w:eastAsia="Times New Roman" w:hAnsi="Times New Roman" w:cs="Times New Roman"/>
          <w:b/>
          <w:bCs/>
          <w:sz w:val="27"/>
          <w:szCs w:val="27"/>
          <w:lang w:eastAsia="ru-RU"/>
        </w:rPr>
      </w:pP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 xml:space="preserve">В современных условиях экономического развития России, стимулирование инновационной активности является ключевым фактором для повышения конкурентоспособности национальной экономики. Субсидирование и грантовая поддержка инновационных проектов играют важную роль в этом процессе, обеспечивая финансирование перспективных разработок и технологий. </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Механизмы субсидирования и грантовой поддержки инновационных разработок в Российской Федерации играют важную роль в стимулировании инновационной активности предприятий. Эти механизмы направлены на предоставление финансовых ресурсов для реализации перспективных проектов, что способствует экономическому развитию и повышению конкурентоспособности на мировом рынке. Однако существующие механизмы субсидирования и грантовой поддержки имеют как преимщества, так и недостатки.</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Преимущества субсидирования и грантовой поддержки инновационных предприятий в России на текущий момент могут включать в себя:</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hAnsi="Times New Roman" w:cs="Times New Roman"/>
          <w:sz w:val="28"/>
          <w:szCs w:val="28"/>
        </w:rPr>
        <w:t>−</w:t>
      </w:r>
      <w:r w:rsidRPr="00C36631">
        <w:rPr>
          <w:rFonts w:ascii="Times New Roman" w:eastAsia="Times New Roman" w:hAnsi="Times New Roman" w:cs="Times New Roman"/>
          <w:b/>
          <w:bCs/>
          <w:sz w:val="28"/>
          <w:szCs w:val="28"/>
          <w:lang w:eastAsia="ru-RU"/>
        </w:rPr>
        <w:t xml:space="preserve"> </w:t>
      </w:r>
      <w:r w:rsidRPr="00C36631">
        <w:rPr>
          <w:rFonts w:ascii="Times New Roman" w:eastAsia="Times New Roman" w:hAnsi="Times New Roman" w:cs="Times New Roman"/>
          <w:sz w:val="28"/>
          <w:szCs w:val="28"/>
          <w:lang w:eastAsia="ru-RU"/>
        </w:rPr>
        <w:t>финансовую поддержку. Предоставление субсидий и грантов помогает предприятиям покрыть значительные затраты на исследования и разработки (НИОКР), что в свою очередь способствует ускорению внедрения инноваций.</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hAnsi="Times New Roman" w:cs="Times New Roman"/>
          <w:sz w:val="28"/>
          <w:szCs w:val="28"/>
        </w:rPr>
        <w:t xml:space="preserve">− </w:t>
      </w:r>
      <w:r w:rsidRPr="00C36631">
        <w:rPr>
          <w:rFonts w:ascii="Times New Roman" w:eastAsia="Times New Roman" w:hAnsi="Times New Roman" w:cs="Times New Roman"/>
          <w:bCs/>
          <w:sz w:val="28"/>
          <w:szCs w:val="28"/>
          <w:lang w:eastAsia="ru-RU"/>
        </w:rPr>
        <w:t xml:space="preserve"> стимулирование инновационной активности</w:t>
      </w:r>
      <w:r w:rsidRPr="00C36631">
        <w:rPr>
          <w:rFonts w:ascii="Times New Roman" w:eastAsia="Times New Roman" w:hAnsi="Times New Roman" w:cs="Times New Roman"/>
          <w:sz w:val="28"/>
          <w:szCs w:val="28"/>
          <w:lang w:eastAsia="ru-RU"/>
        </w:rPr>
        <w:t>: Финансовая поддержка служит мотивацией для компаний вкладывать ресурсы в инновационные проекты, что увеличивает общую инновационную активность в стране.</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hAnsi="Times New Roman" w:cs="Times New Roman"/>
          <w:sz w:val="28"/>
          <w:szCs w:val="28"/>
        </w:rPr>
        <w:lastRenderedPageBreak/>
        <w:t xml:space="preserve">−  </w:t>
      </w:r>
      <w:r w:rsidRPr="00C36631">
        <w:rPr>
          <w:rFonts w:ascii="Times New Roman" w:eastAsia="Times New Roman" w:hAnsi="Times New Roman" w:cs="Times New Roman"/>
          <w:bCs/>
          <w:sz w:val="28"/>
          <w:szCs w:val="28"/>
          <w:lang w:eastAsia="ru-RU"/>
        </w:rPr>
        <w:t>создание рабочих мест</w:t>
      </w:r>
      <w:r w:rsidRPr="00C36631">
        <w:rPr>
          <w:rFonts w:ascii="Times New Roman" w:eastAsia="Times New Roman" w:hAnsi="Times New Roman" w:cs="Times New Roman"/>
          <w:sz w:val="28"/>
          <w:szCs w:val="28"/>
          <w:lang w:eastAsia="ru-RU"/>
        </w:rPr>
        <w:t>. Поддержка инновационных проектов способствует созданию новых рабочих мест и развитию квалифицированных кадров.</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hAnsi="Times New Roman" w:cs="Times New Roman"/>
          <w:sz w:val="28"/>
          <w:szCs w:val="28"/>
        </w:rPr>
        <w:t xml:space="preserve">− </w:t>
      </w:r>
      <w:r w:rsidRPr="00C36631">
        <w:rPr>
          <w:rFonts w:ascii="Times New Roman" w:eastAsia="Times New Roman" w:hAnsi="Times New Roman" w:cs="Times New Roman"/>
          <w:bCs/>
          <w:sz w:val="28"/>
          <w:szCs w:val="28"/>
          <w:lang w:eastAsia="ru-RU"/>
        </w:rPr>
        <w:t>улучшение международной конкурентоспособности</w:t>
      </w:r>
      <w:r w:rsidRPr="00C36631">
        <w:rPr>
          <w:rFonts w:ascii="Times New Roman" w:eastAsia="Times New Roman" w:hAnsi="Times New Roman" w:cs="Times New Roman"/>
          <w:sz w:val="28"/>
          <w:szCs w:val="28"/>
          <w:lang w:eastAsia="ru-RU"/>
        </w:rPr>
        <w:t>. Благодаря финансовой поддержке, российские компании могут создавать продукты и технологии, которые конкурируют на международном рынке.</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Недостатки механизма грантовой поддержки инновационных проектов в Российской Федерации на данный момент могут быть выражены следующими тезисами:</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hAnsi="Times New Roman" w:cs="Times New Roman"/>
          <w:sz w:val="28"/>
          <w:szCs w:val="28"/>
        </w:rPr>
        <w:t xml:space="preserve">− </w:t>
      </w:r>
      <w:r w:rsidRPr="00C36631">
        <w:rPr>
          <w:rFonts w:ascii="Times New Roman" w:eastAsia="Times New Roman" w:hAnsi="Times New Roman" w:cs="Times New Roman"/>
          <w:sz w:val="28"/>
          <w:szCs w:val="28"/>
          <w:lang w:eastAsia="ru-RU"/>
        </w:rPr>
        <w:t>отсутствие унифицированного подхода к оценке и выбору компаний для предоставления субсидий и грантов. Это приводит к субъективности и неравномерности в распределении финансовых ресурсов.</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hAnsi="Times New Roman" w:cs="Times New Roman"/>
          <w:sz w:val="28"/>
          <w:szCs w:val="28"/>
        </w:rPr>
        <w:t xml:space="preserve">− </w:t>
      </w:r>
      <w:r w:rsidRPr="00C36631">
        <w:rPr>
          <w:rFonts w:ascii="Times New Roman" w:eastAsia="Times New Roman" w:hAnsi="Times New Roman" w:cs="Times New Roman"/>
          <w:sz w:val="28"/>
          <w:szCs w:val="28"/>
          <w:lang w:eastAsia="ru-RU"/>
        </w:rPr>
        <w:t>процессы отбора и оценки проектов часто непрозрачны, что вызывает недоверие у участников и снижает эффективность использования государственных средств.</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hAnsi="Times New Roman" w:cs="Times New Roman"/>
          <w:sz w:val="28"/>
          <w:szCs w:val="28"/>
        </w:rPr>
        <w:t xml:space="preserve">− </w:t>
      </w:r>
      <w:r w:rsidRPr="00C36631">
        <w:rPr>
          <w:rFonts w:ascii="Times New Roman" w:eastAsia="Times New Roman" w:hAnsi="Times New Roman" w:cs="Times New Roman"/>
          <w:sz w:val="28"/>
          <w:szCs w:val="28"/>
          <w:lang w:eastAsia="ru-RU"/>
        </w:rPr>
        <w:t>компании сталкиваются с многочисленными административными преградами при подаче заявок на гранты и субсидии, что усложняет и удлиняет процесс получения поддержки.</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hAnsi="Times New Roman" w:cs="Times New Roman"/>
          <w:sz w:val="28"/>
          <w:szCs w:val="28"/>
        </w:rPr>
        <w:t>−</w:t>
      </w:r>
      <w:r w:rsidRPr="00C36631">
        <w:rPr>
          <w:rFonts w:ascii="Times New Roman" w:eastAsia="Times New Roman" w:hAnsi="Times New Roman" w:cs="Times New Roman"/>
          <w:sz w:val="28"/>
          <w:szCs w:val="28"/>
          <w:lang w:eastAsia="ru-RU"/>
        </w:rPr>
        <w:t xml:space="preserve"> существующие методы оценки часто не учитывают все специфические риски и неопределенности, связанные с инновационной деятельностью, что создает значительные риски для государственных инвестиций.</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Одним из направлений совершенствования механизма субсидирования и грантовой поддержки можно рассматривать модернизацию методики оценки инновационных предприятий.</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Предлагается ввести усовершенствованный многокритериальный метод оценки инновационных проектов, который будет лежать в основе универсальной системы, позволяющей учитывать различные факторы и их влияние на успешность проекта. Данный будет метод основывается на использовании бальной оценки, где каждому показателю присваивается вес в зависимости от его значимости.</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lastRenderedPageBreak/>
        <w:t xml:space="preserve">Предложенный метод оценки будет учитывать 5 основных аспектов: научно-технический, </w:t>
      </w:r>
      <w:r w:rsidRPr="00C36631">
        <w:rPr>
          <w:rFonts w:ascii="Times New Roman" w:eastAsia="Times New Roman" w:hAnsi="Times New Roman" w:cs="Times New Roman"/>
          <w:bCs/>
          <w:sz w:val="28"/>
          <w:szCs w:val="28"/>
          <w:lang w:eastAsia="ru-RU"/>
        </w:rPr>
        <w:t xml:space="preserve">экономический, ресурсный, социальный и экологический. </w:t>
      </w:r>
      <w:r w:rsidRPr="00C36631">
        <w:rPr>
          <w:rFonts w:ascii="Times New Roman" w:eastAsia="Times New Roman" w:hAnsi="Times New Roman" w:cs="Times New Roman"/>
          <w:sz w:val="28"/>
          <w:szCs w:val="28"/>
          <w:lang w:eastAsia="ru-RU"/>
        </w:rPr>
        <w:t>Выбор данных аспектов для многокритериального метода оценки инновационных проектов обоснован их важностью и комплексностью, что позволяет всесторонне оценить проект и принять обоснованное решение о его финансировании и поддержке.</w:t>
      </w:r>
    </w:p>
    <w:p w:rsidR="001B6DE2" w:rsidRPr="00C36631" w:rsidRDefault="001B6DE2" w:rsidP="001B6DE2">
      <w:pPr>
        <w:spacing w:after="0" w:line="360" w:lineRule="auto"/>
        <w:ind w:firstLine="709"/>
        <w:contextualSpacing/>
        <w:jc w:val="both"/>
        <w:rPr>
          <w:rFonts w:ascii="Times New Roman" w:eastAsia="Times New Roman" w:hAnsi="Times New Roman" w:cs="Times New Roman"/>
          <w:bCs/>
          <w:sz w:val="28"/>
          <w:szCs w:val="28"/>
          <w:lang w:eastAsia="ru-RU"/>
        </w:rPr>
      </w:pPr>
      <w:r w:rsidRPr="00C36631">
        <w:rPr>
          <w:rFonts w:ascii="Times New Roman" w:eastAsia="Times New Roman" w:hAnsi="Times New Roman" w:cs="Times New Roman"/>
          <w:bCs/>
          <w:sz w:val="28"/>
          <w:szCs w:val="28"/>
          <w:lang w:eastAsia="ru-RU"/>
        </w:rPr>
        <w:t>Научно-технический аспект является ключевым для оценки инновационных проектов, так как он позволит определить уровень новизны, технологическую готовность и научную обоснованность проекта. Учитывая показатели, такие как уровень новизны технологии, потенциал для патентования и количество публикаций, можно оценить научную и технологическую значимость проекта, его потенциальное влияние на научно-технический прогресс и возможность интеграции с существующими системами.</w:t>
      </w:r>
    </w:p>
    <w:p w:rsidR="001B6DE2" w:rsidRPr="00C36631" w:rsidRDefault="001B6DE2" w:rsidP="001B6DE2">
      <w:pPr>
        <w:spacing w:after="0" w:line="360" w:lineRule="auto"/>
        <w:ind w:firstLine="709"/>
        <w:contextualSpacing/>
        <w:jc w:val="both"/>
        <w:rPr>
          <w:rFonts w:ascii="Times New Roman" w:eastAsia="Times New Roman" w:hAnsi="Times New Roman" w:cs="Times New Roman"/>
          <w:bCs/>
          <w:sz w:val="28"/>
          <w:szCs w:val="28"/>
          <w:lang w:eastAsia="ru-RU"/>
        </w:rPr>
      </w:pPr>
      <w:r w:rsidRPr="00C36631">
        <w:rPr>
          <w:rFonts w:ascii="Times New Roman" w:eastAsia="Times New Roman" w:hAnsi="Times New Roman" w:cs="Times New Roman"/>
          <w:bCs/>
          <w:sz w:val="28"/>
          <w:szCs w:val="28"/>
          <w:lang w:eastAsia="ru-RU"/>
        </w:rPr>
        <w:t>Экономический аспект играет важную роль в оценке жизнеспособности и финансовой привлекательности инновационных проектов. Оценка таких показателей, как ожидаемая прибыль, срок окупаемости, внутренняя норма доходности и чистая приведенная стоимость, позволяет определить экономическую эффективность и инвестиционную привлекательность проекта. Эти показатели помогут оценить потенциальную отдачу от вложений и риски, связанные с проектом.</w:t>
      </w:r>
    </w:p>
    <w:p w:rsidR="001B6DE2" w:rsidRPr="00C36631" w:rsidRDefault="001B6DE2" w:rsidP="001B6DE2">
      <w:pPr>
        <w:spacing w:after="0" w:line="360" w:lineRule="auto"/>
        <w:ind w:firstLine="709"/>
        <w:contextualSpacing/>
        <w:jc w:val="both"/>
        <w:rPr>
          <w:rFonts w:ascii="Times New Roman" w:eastAsia="Times New Roman" w:hAnsi="Times New Roman" w:cs="Times New Roman"/>
          <w:bCs/>
          <w:sz w:val="28"/>
          <w:szCs w:val="28"/>
          <w:lang w:eastAsia="ru-RU"/>
        </w:rPr>
      </w:pPr>
      <w:r w:rsidRPr="00C36631">
        <w:rPr>
          <w:rFonts w:ascii="Times New Roman" w:eastAsia="Times New Roman" w:hAnsi="Times New Roman" w:cs="Times New Roman"/>
          <w:bCs/>
          <w:sz w:val="28"/>
          <w:szCs w:val="28"/>
          <w:lang w:eastAsia="ru-RU"/>
        </w:rPr>
        <w:t>Ресурсный аспект важен для определения доступности и стоимости необходимых ресурсов для реализации проекта. Оценка таких показателей, как доступность ресурсов, их стоимость и эффективность использования, позволит определить, насколько рационально и экономически обоснованно будет использовано доступное ресурсное обеспечение. Эти данные критически важны для планирования и управления проектом, а также для минимизации затрат.</w:t>
      </w:r>
    </w:p>
    <w:p w:rsidR="001B6DE2" w:rsidRDefault="001B6DE2" w:rsidP="001B6DE2">
      <w:pPr>
        <w:spacing w:after="0" w:line="360" w:lineRule="auto"/>
        <w:ind w:firstLine="709"/>
        <w:contextualSpacing/>
        <w:jc w:val="both"/>
        <w:rPr>
          <w:rFonts w:ascii="Times New Roman" w:eastAsia="Times New Roman" w:hAnsi="Times New Roman" w:cs="Times New Roman"/>
          <w:bCs/>
          <w:sz w:val="28"/>
          <w:szCs w:val="28"/>
          <w:lang w:eastAsia="ru-RU"/>
        </w:rPr>
      </w:pPr>
      <w:r w:rsidRPr="00C36631">
        <w:rPr>
          <w:rFonts w:ascii="Times New Roman" w:eastAsia="Times New Roman" w:hAnsi="Times New Roman" w:cs="Times New Roman"/>
          <w:bCs/>
          <w:sz w:val="28"/>
          <w:szCs w:val="28"/>
          <w:lang w:eastAsia="ru-RU"/>
        </w:rPr>
        <w:t>Предложенная структура многокритериального метода оценки представлена в таблице:</w:t>
      </w:r>
    </w:p>
    <w:p w:rsidR="001B6DE2" w:rsidRPr="00C36631" w:rsidRDefault="001B6DE2" w:rsidP="001B6DE2">
      <w:pPr>
        <w:spacing w:after="0" w:line="360" w:lineRule="auto"/>
        <w:ind w:firstLine="709"/>
        <w:contextualSpacing/>
        <w:jc w:val="both"/>
        <w:rPr>
          <w:rFonts w:ascii="Times New Roman" w:eastAsia="Times New Roman" w:hAnsi="Times New Roman" w:cs="Times New Roman"/>
          <w:bCs/>
          <w:sz w:val="28"/>
          <w:szCs w:val="28"/>
          <w:lang w:eastAsia="ru-RU"/>
        </w:rPr>
      </w:pPr>
    </w:p>
    <w:p w:rsidR="001B6DE2" w:rsidRPr="00C36631" w:rsidRDefault="001B6DE2" w:rsidP="001B6DE2">
      <w:pPr>
        <w:spacing w:after="0" w:line="240" w:lineRule="auto"/>
        <w:jc w:val="both"/>
        <w:rPr>
          <w:rFonts w:ascii="Times New Roman" w:eastAsia="Times New Roman" w:hAnsi="Times New Roman" w:cs="Times New Roman"/>
          <w:bCs/>
          <w:sz w:val="28"/>
          <w:szCs w:val="28"/>
          <w:lang w:eastAsia="ru-RU"/>
        </w:rPr>
      </w:pPr>
      <w:r w:rsidRPr="00C36631">
        <w:rPr>
          <w:rFonts w:ascii="Times New Roman" w:eastAsia="Times New Roman" w:hAnsi="Times New Roman" w:cs="Times New Roman"/>
          <w:bCs/>
          <w:sz w:val="28"/>
          <w:szCs w:val="28"/>
          <w:lang w:eastAsia="ru-RU"/>
        </w:rPr>
        <w:t>Таблица 4 - Структура многокритериального метода оценки инновационного проекта (разработано автором)</w:t>
      </w:r>
    </w:p>
    <w:tbl>
      <w:tblPr>
        <w:tblStyle w:val="1"/>
        <w:tblW w:w="5000" w:type="pct"/>
        <w:tblLook w:val="04A0" w:firstRow="1" w:lastRow="0" w:firstColumn="1" w:lastColumn="0" w:noHBand="0" w:noVBand="1"/>
      </w:tblPr>
      <w:tblGrid>
        <w:gridCol w:w="2121"/>
        <w:gridCol w:w="3543"/>
        <w:gridCol w:w="3680"/>
      </w:tblGrid>
      <w:tr w:rsidR="001B6DE2" w:rsidRPr="00117327" w:rsidTr="00CF73CA">
        <w:tc>
          <w:tcPr>
            <w:tcW w:w="1135" w:type="pct"/>
          </w:tcPr>
          <w:p w:rsidR="001B6DE2" w:rsidRPr="00117327" w:rsidRDefault="001B6DE2" w:rsidP="00CF73CA">
            <w:pPr>
              <w:spacing w:line="360" w:lineRule="auto"/>
              <w:contextualSpacing/>
              <w:jc w:val="both"/>
              <w:rPr>
                <w:bCs/>
                <w:sz w:val="22"/>
                <w:szCs w:val="22"/>
              </w:rPr>
            </w:pPr>
            <w:r w:rsidRPr="00117327">
              <w:rPr>
                <w:bCs/>
                <w:sz w:val="22"/>
                <w:szCs w:val="22"/>
              </w:rPr>
              <w:t>Критерий</w:t>
            </w:r>
          </w:p>
        </w:tc>
        <w:tc>
          <w:tcPr>
            <w:tcW w:w="1896" w:type="pct"/>
          </w:tcPr>
          <w:p w:rsidR="001B6DE2" w:rsidRPr="00117327" w:rsidRDefault="001B6DE2" w:rsidP="00CF73CA">
            <w:pPr>
              <w:spacing w:line="360" w:lineRule="auto"/>
              <w:contextualSpacing/>
              <w:jc w:val="both"/>
              <w:rPr>
                <w:bCs/>
                <w:sz w:val="22"/>
                <w:szCs w:val="22"/>
              </w:rPr>
            </w:pPr>
            <w:r w:rsidRPr="00117327">
              <w:rPr>
                <w:bCs/>
                <w:sz w:val="22"/>
                <w:szCs w:val="22"/>
              </w:rPr>
              <w:t>Показатель</w:t>
            </w:r>
          </w:p>
        </w:tc>
        <w:tc>
          <w:tcPr>
            <w:tcW w:w="1969" w:type="pct"/>
          </w:tcPr>
          <w:p w:rsidR="001B6DE2" w:rsidRPr="00117327" w:rsidRDefault="001B6DE2" w:rsidP="00CF73CA">
            <w:pPr>
              <w:spacing w:line="360" w:lineRule="auto"/>
              <w:contextualSpacing/>
              <w:jc w:val="both"/>
              <w:rPr>
                <w:bCs/>
                <w:sz w:val="22"/>
                <w:szCs w:val="22"/>
              </w:rPr>
            </w:pPr>
            <w:r w:rsidRPr="00117327">
              <w:rPr>
                <w:bCs/>
                <w:sz w:val="22"/>
                <w:szCs w:val="22"/>
              </w:rPr>
              <w:t>Единица измерения</w:t>
            </w:r>
          </w:p>
        </w:tc>
      </w:tr>
      <w:tr w:rsidR="001B6DE2" w:rsidRPr="00117327" w:rsidTr="00CF73CA">
        <w:tc>
          <w:tcPr>
            <w:tcW w:w="1135" w:type="pct"/>
            <w:vMerge w:val="restart"/>
          </w:tcPr>
          <w:p w:rsidR="001B6DE2" w:rsidRPr="00117327" w:rsidRDefault="001B6DE2" w:rsidP="00CF73CA">
            <w:pPr>
              <w:contextualSpacing/>
              <w:rPr>
                <w:bCs/>
                <w:sz w:val="22"/>
                <w:szCs w:val="22"/>
              </w:rPr>
            </w:pPr>
            <w:r w:rsidRPr="00117327">
              <w:rPr>
                <w:sz w:val="22"/>
                <w:szCs w:val="22"/>
              </w:rPr>
              <w:t xml:space="preserve">Научно-технический </w:t>
            </w:r>
          </w:p>
        </w:tc>
        <w:tc>
          <w:tcPr>
            <w:tcW w:w="1896" w:type="pct"/>
          </w:tcPr>
          <w:p w:rsidR="001B6DE2" w:rsidRPr="00117327" w:rsidRDefault="001B6DE2" w:rsidP="00CF73CA">
            <w:pPr>
              <w:contextualSpacing/>
              <w:rPr>
                <w:sz w:val="22"/>
                <w:szCs w:val="22"/>
              </w:rPr>
            </w:pPr>
            <w:r w:rsidRPr="00117327">
              <w:rPr>
                <w:sz w:val="22"/>
                <w:szCs w:val="22"/>
              </w:rPr>
              <w:t>Уровень новизны</w:t>
            </w:r>
          </w:p>
          <w:p w:rsidR="001B6DE2" w:rsidRPr="00117327" w:rsidRDefault="001B6DE2" w:rsidP="00CF73CA">
            <w:pPr>
              <w:contextualSpacing/>
              <w:rPr>
                <w:sz w:val="22"/>
                <w:szCs w:val="22"/>
              </w:rPr>
            </w:pPr>
            <w:r w:rsidRPr="00117327">
              <w:rPr>
                <w:sz w:val="22"/>
                <w:szCs w:val="22"/>
              </w:rPr>
              <w:t>технологии</w:t>
            </w:r>
          </w:p>
        </w:tc>
        <w:tc>
          <w:tcPr>
            <w:tcW w:w="1969" w:type="pct"/>
          </w:tcPr>
          <w:p w:rsidR="001B6DE2" w:rsidRPr="00117327" w:rsidRDefault="001B6DE2" w:rsidP="00CF73CA">
            <w:pPr>
              <w:contextualSpacing/>
              <w:rPr>
                <w:sz w:val="22"/>
                <w:szCs w:val="22"/>
              </w:rPr>
            </w:pPr>
            <w:r w:rsidRPr="00117327">
              <w:rPr>
                <w:sz w:val="22"/>
                <w:szCs w:val="22"/>
              </w:rPr>
              <w:t>балл от 1 до 10</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Потенциал для патентования</w:t>
            </w:r>
          </w:p>
        </w:tc>
        <w:tc>
          <w:tcPr>
            <w:tcW w:w="1969" w:type="pct"/>
          </w:tcPr>
          <w:p w:rsidR="001B6DE2" w:rsidRPr="00117327" w:rsidRDefault="001B6DE2" w:rsidP="00CF73CA">
            <w:pPr>
              <w:contextualSpacing/>
              <w:rPr>
                <w:sz w:val="22"/>
                <w:szCs w:val="22"/>
              </w:rPr>
            </w:pPr>
            <w:r w:rsidRPr="00117327">
              <w:rPr>
                <w:sz w:val="22"/>
                <w:szCs w:val="22"/>
              </w:rPr>
              <w:t>количество потенциальных патентов</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Количество публикаций и научных статей</w:t>
            </w:r>
          </w:p>
        </w:tc>
        <w:tc>
          <w:tcPr>
            <w:tcW w:w="1969" w:type="pct"/>
          </w:tcPr>
          <w:p w:rsidR="001B6DE2" w:rsidRPr="00117327" w:rsidRDefault="001B6DE2" w:rsidP="00CF73CA">
            <w:pPr>
              <w:contextualSpacing/>
              <w:rPr>
                <w:sz w:val="22"/>
                <w:szCs w:val="22"/>
              </w:rPr>
            </w:pPr>
            <w:r w:rsidRPr="00117327">
              <w:rPr>
                <w:sz w:val="22"/>
                <w:szCs w:val="22"/>
              </w:rPr>
              <w:t>в штуках</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Уровень научной обоснованности</w:t>
            </w:r>
          </w:p>
        </w:tc>
        <w:tc>
          <w:tcPr>
            <w:tcW w:w="1969" w:type="pct"/>
          </w:tcPr>
          <w:p w:rsidR="001B6DE2" w:rsidRPr="00117327" w:rsidRDefault="001B6DE2" w:rsidP="00CF73CA">
            <w:pPr>
              <w:contextualSpacing/>
              <w:rPr>
                <w:sz w:val="22"/>
                <w:szCs w:val="22"/>
              </w:rPr>
            </w:pPr>
            <w:r w:rsidRPr="00117327">
              <w:rPr>
                <w:sz w:val="22"/>
                <w:szCs w:val="22"/>
              </w:rPr>
              <w:t>балл от 1 до 10</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Технологическая готовность</w:t>
            </w:r>
          </w:p>
        </w:tc>
        <w:tc>
          <w:tcPr>
            <w:tcW w:w="1969" w:type="pct"/>
          </w:tcPr>
          <w:p w:rsidR="001B6DE2" w:rsidRPr="00117327" w:rsidRDefault="001B6DE2" w:rsidP="00CF73CA">
            <w:pPr>
              <w:contextualSpacing/>
              <w:rPr>
                <w:sz w:val="22"/>
                <w:szCs w:val="22"/>
              </w:rPr>
            </w:pPr>
            <w:r w:rsidRPr="00117327">
              <w:rPr>
                <w:sz w:val="22"/>
                <w:szCs w:val="22"/>
              </w:rPr>
              <w:t>балл от 1 до 10</w:t>
            </w:r>
          </w:p>
        </w:tc>
      </w:tr>
      <w:tr w:rsidR="001B6DE2" w:rsidRPr="00117327" w:rsidTr="00CF73CA">
        <w:tc>
          <w:tcPr>
            <w:tcW w:w="1135" w:type="pct"/>
            <w:vMerge w:val="restart"/>
          </w:tcPr>
          <w:p w:rsidR="001B6DE2" w:rsidRPr="00117327" w:rsidRDefault="001B6DE2" w:rsidP="00CF73CA">
            <w:pPr>
              <w:contextualSpacing/>
              <w:rPr>
                <w:sz w:val="22"/>
                <w:szCs w:val="22"/>
              </w:rPr>
            </w:pPr>
            <w:r w:rsidRPr="00117327">
              <w:rPr>
                <w:bCs/>
                <w:sz w:val="22"/>
                <w:szCs w:val="22"/>
              </w:rPr>
              <w:t xml:space="preserve">Экономический </w:t>
            </w:r>
          </w:p>
        </w:tc>
        <w:tc>
          <w:tcPr>
            <w:tcW w:w="1896" w:type="pct"/>
          </w:tcPr>
          <w:p w:rsidR="001B6DE2" w:rsidRPr="00117327" w:rsidRDefault="001B6DE2" w:rsidP="00CF73CA">
            <w:pPr>
              <w:contextualSpacing/>
              <w:rPr>
                <w:sz w:val="22"/>
                <w:szCs w:val="22"/>
              </w:rPr>
            </w:pPr>
            <w:r w:rsidRPr="00117327">
              <w:rPr>
                <w:sz w:val="22"/>
                <w:szCs w:val="22"/>
              </w:rPr>
              <w:t>Ожидаемая прибыль</w:t>
            </w:r>
          </w:p>
        </w:tc>
        <w:tc>
          <w:tcPr>
            <w:tcW w:w="1969" w:type="pct"/>
          </w:tcPr>
          <w:p w:rsidR="001B6DE2" w:rsidRPr="00117327" w:rsidRDefault="001B6DE2" w:rsidP="00CF73CA">
            <w:pPr>
              <w:contextualSpacing/>
              <w:rPr>
                <w:sz w:val="22"/>
                <w:szCs w:val="22"/>
              </w:rPr>
            </w:pPr>
            <w:r w:rsidRPr="00117327">
              <w:rPr>
                <w:sz w:val="22"/>
                <w:szCs w:val="22"/>
              </w:rPr>
              <w:t>в миллионах рублей</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Срок окупаемости</w:t>
            </w:r>
          </w:p>
        </w:tc>
        <w:tc>
          <w:tcPr>
            <w:tcW w:w="1969" w:type="pct"/>
          </w:tcPr>
          <w:p w:rsidR="001B6DE2" w:rsidRPr="00117327" w:rsidRDefault="001B6DE2" w:rsidP="00CF73CA">
            <w:pPr>
              <w:contextualSpacing/>
              <w:rPr>
                <w:sz w:val="22"/>
                <w:szCs w:val="22"/>
              </w:rPr>
            </w:pPr>
            <w:r w:rsidRPr="00117327">
              <w:rPr>
                <w:sz w:val="22"/>
                <w:szCs w:val="22"/>
              </w:rPr>
              <w:t>в годах</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Внутренняя норма доходности</w:t>
            </w:r>
          </w:p>
        </w:tc>
        <w:tc>
          <w:tcPr>
            <w:tcW w:w="1969" w:type="pct"/>
          </w:tcPr>
          <w:p w:rsidR="001B6DE2" w:rsidRPr="00117327" w:rsidRDefault="001B6DE2" w:rsidP="00CF73CA">
            <w:pPr>
              <w:contextualSpacing/>
              <w:rPr>
                <w:sz w:val="22"/>
                <w:szCs w:val="22"/>
              </w:rPr>
            </w:pPr>
            <w:r w:rsidRPr="00117327">
              <w:rPr>
                <w:sz w:val="22"/>
                <w:szCs w:val="22"/>
              </w:rPr>
              <w:t>в процентах</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Объем инвестиций</w:t>
            </w:r>
          </w:p>
        </w:tc>
        <w:tc>
          <w:tcPr>
            <w:tcW w:w="1969" w:type="pct"/>
          </w:tcPr>
          <w:p w:rsidR="001B6DE2" w:rsidRPr="00117327" w:rsidRDefault="001B6DE2" w:rsidP="00CF73CA">
            <w:pPr>
              <w:contextualSpacing/>
              <w:rPr>
                <w:sz w:val="22"/>
                <w:szCs w:val="22"/>
              </w:rPr>
            </w:pPr>
            <w:r w:rsidRPr="00117327">
              <w:rPr>
                <w:sz w:val="22"/>
                <w:szCs w:val="22"/>
              </w:rPr>
              <w:t>в миллионах рублей</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Чистая приведенная стоимость (NPV)</w:t>
            </w:r>
          </w:p>
        </w:tc>
        <w:tc>
          <w:tcPr>
            <w:tcW w:w="1969" w:type="pct"/>
          </w:tcPr>
          <w:p w:rsidR="001B6DE2" w:rsidRPr="00117327" w:rsidRDefault="001B6DE2" w:rsidP="00CF73CA">
            <w:pPr>
              <w:contextualSpacing/>
              <w:rPr>
                <w:sz w:val="22"/>
                <w:szCs w:val="22"/>
              </w:rPr>
            </w:pPr>
            <w:r w:rsidRPr="00117327">
              <w:rPr>
                <w:sz w:val="22"/>
                <w:szCs w:val="22"/>
              </w:rPr>
              <w:t>в миллионах рублей</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Коэффициент рентабельности (ROI)</w:t>
            </w:r>
          </w:p>
        </w:tc>
        <w:tc>
          <w:tcPr>
            <w:tcW w:w="1969" w:type="pct"/>
          </w:tcPr>
          <w:p w:rsidR="001B6DE2" w:rsidRPr="00117327" w:rsidRDefault="001B6DE2" w:rsidP="00CF73CA">
            <w:pPr>
              <w:contextualSpacing/>
              <w:rPr>
                <w:sz w:val="22"/>
                <w:szCs w:val="22"/>
              </w:rPr>
            </w:pPr>
            <w:r w:rsidRPr="00117327">
              <w:rPr>
                <w:sz w:val="22"/>
                <w:szCs w:val="22"/>
              </w:rPr>
              <w:t>в процентах</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Уровень рыночного спроса</w:t>
            </w:r>
          </w:p>
        </w:tc>
        <w:tc>
          <w:tcPr>
            <w:tcW w:w="1969" w:type="pct"/>
          </w:tcPr>
          <w:p w:rsidR="001B6DE2" w:rsidRPr="00117327" w:rsidRDefault="001B6DE2" w:rsidP="00CF73CA">
            <w:pPr>
              <w:contextualSpacing/>
              <w:rPr>
                <w:sz w:val="22"/>
                <w:szCs w:val="22"/>
              </w:rPr>
            </w:pPr>
            <w:r w:rsidRPr="00117327">
              <w:rPr>
                <w:sz w:val="22"/>
                <w:szCs w:val="22"/>
              </w:rPr>
              <w:t>в процентах</w:t>
            </w:r>
          </w:p>
        </w:tc>
      </w:tr>
      <w:tr w:rsidR="001B6DE2" w:rsidRPr="00117327" w:rsidTr="00CF73CA">
        <w:tc>
          <w:tcPr>
            <w:tcW w:w="1135" w:type="pct"/>
            <w:vMerge w:val="restart"/>
          </w:tcPr>
          <w:p w:rsidR="001B6DE2" w:rsidRPr="00117327" w:rsidRDefault="001B6DE2" w:rsidP="00CF73CA">
            <w:pPr>
              <w:contextualSpacing/>
              <w:rPr>
                <w:sz w:val="22"/>
                <w:szCs w:val="22"/>
              </w:rPr>
            </w:pPr>
            <w:r w:rsidRPr="00117327">
              <w:rPr>
                <w:bCs/>
                <w:sz w:val="22"/>
                <w:szCs w:val="22"/>
              </w:rPr>
              <w:t xml:space="preserve">Ресурсный </w:t>
            </w:r>
          </w:p>
        </w:tc>
        <w:tc>
          <w:tcPr>
            <w:tcW w:w="1896" w:type="pct"/>
          </w:tcPr>
          <w:p w:rsidR="001B6DE2" w:rsidRPr="00117327" w:rsidRDefault="001B6DE2" w:rsidP="00CF73CA">
            <w:pPr>
              <w:contextualSpacing/>
              <w:rPr>
                <w:sz w:val="22"/>
                <w:szCs w:val="22"/>
              </w:rPr>
            </w:pPr>
            <w:r w:rsidRPr="00117327">
              <w:rPr>
                <w:sz w:val="22"/>
                <w:szCs w:val="22"/>
              </w:rPr>
              <w:t>Доступность необходимых ресурсов</w:t>
            </w:r>
          </w:p>
        </w:tc>
        <w:tc>
          <w:tcPr>
            <w:tcW w:w="1969" w:type="pct"/>
          </w:tcPr>
          <w:p w:rsidR="001B6DE2" w:rsidRPr="00117327" w:rsidRDefault="001B6DE2" w:rsidP="00CF73CA">
            <w:pPr>
              <w:contextualSpacing/>
              <w:rPr>
                <w:sz w:val="22"/>
                <w:szCs w:val="22"/>
              </w:rPr>
            </w:pPr>
            <w:r w:rsidRPr="00117327">
              <w:rPr>
                <w:sz w:val="22"/>
                <w:szCs w:val="22"/>
              </w:rPr>
              <w:t>в процентах</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Стоимость ресурсов</w:t>
            </w:r>
          </w:p>
        </w:tc>
        <w:tc>
          <w:tcPr>
            <w:tcW w:w="1969" w:type="pct"/>
          </w:tcPr>
          <w:p w:rsidR="001B6DE2" w:rsidRPr="00117327" w:rsidRDefault="001B6DE2" w:rsidP="00CF73CA">
            <w:pPr>
              <w:contextualSpacing/>
              <w:rPr>
                <w:sz w:val="22"/>
                <w:szCs w:val="22"/>
              </w:rPr>
            </w:pPr>
            <w:r w:rsidRPr="00117327">
              <w:rPr>
                <w:sz w:val="22"/>
                <w:szCs w:val="22"/>
              </w:rPr>
              <w:t>в миллионах рублей</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Эффективность использования ресурсов</w:t>
            </w:r>
          </w:p>
        </w:tc>
        <w:tc>
          <w:tcPr>
            <w:tcW w:w="1969" w:type="pct"/>
          </w:tcPr>
          <w:p w:rsidR="001B6DE2" w:rsidRPr="00117327" w:rsidRDefault="001B6DE2" w:rsidP="00CF73CA">
            <w:pPr>
              <w:contextualSpacing/>
              <w:rPr>
                <w:sz w:val="22"/>
                <w:szCs w:val="22"/>
              </w:rPr>
            </w:pPr>
            <w:r w:rsidRPr="00117327">
              <w:rPr>
                <w:sz w:val="22"/>
                <w:szCs w:val="22"/>
              </w:rPr>
              <w:t>в процентах</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Количество необходимых трудовых ресурсов</w:t>
            </w:r>
          </w:p>
        </w:tc>
        <w:tc>
          <w:tcPr>
            <w:tcW w:w="1969" w:type="pct"/>
          </w:tcPr>
          <w:p w:rsidR="001B6DE2" w:rsidRPr="00117327" w:rsidRDefault="001B6DE2" w:rsidP="00CF73CA">
            <w:pPr>
              <w:contextualSpacing/>
              <w:rPr>
                <w:sz w:val="22"/>
                <w:szCs w:val="22"/>
              </w:rPr>
            </w:pPr>
            <w:r w:rsidRPr="00117327">
              <w:rPr>
                <w:sz w:val="22"/>
                <w:szCs w:val="22"/>
              </w:rPr>
              <w:t>в человеко-часах</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Время на разработку</w:t>
            </w:r>
          </w:p>
        </w:tc>
        <w:tc>
          <w:tcPr>
            <w:tcW w:w="1969" w:type="pct"/>
          </w:tcPr>
          <w:p w:rsidR="001B6DE2" w:rsidRPr="00117327" w:rsidRDefault="001B6DE2" w:rsidP="00CF73CA">
            <w:pPr>
              <w:contextualSpacing/>
              <w:rPr>
                <w:sz w:val="22"/>
                <w:szCs w:val="22"/>
              </w:rPr>
            </w:pPr>
            <w:r w:rsidRPr="00117327">
              <w:rPr>
                <w:sz w:val="22"/>
                <w:szCs w:val="22"/>
              </w:rPr>
              <w:t>в месяцах</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Затраты на обучение и подготовку кадров</w:t>
            </w:r>
          </w:p>
        </w:tc>
        <w:tc>
          <w:tcPr>
            <w:tcW w:w="1969" w:type="pct"/>
          </w:tcPr>
          <w:p w:rsidR="001B6DE2" w:rsidRPr="00117327" w:rsidRDefault="001B6DE2" w:rsidP="00CF73CA">
            <w:pPr>
              <w:contextualSpacing/>
              <w:rPr>
                <w:sz w:val="22"/>
                <w:szCs w:val="22"/>
              </w:rPr>
            </w:pPr>
            <w:r w:rsidRPr="00117327">
              <w:rPr>
                <w:sz w:val="22"/>
                <w:szCs w:val="22"/>
              </w:rPr>
              <w:t>в миллионах рублей</w:t>
            </w:r>
          </w:p>
        </w:tc>
      </w:tr>
      <w:tr w:rsidR="001B6DE2" w:rsidRPr="00117327" w:rsidTr="00CF73CA">
        <w:tc>
          <w:tcPr>
            <w:tcW w:w="1135" w:type="pct"/>
            <w:vMerge w:val="restart"/>
          </w:tcPr>
          <w:p w:rsidR="001B6DE2" w:rsidRPr="00117327" w:rsidRDefault="001B6DE2" w:rsidP="00CF73CA">
            <w:pPr>
              <w:contextualSpacing/>
              <w:rPr>
                <w:sz w:val="22"/>
                <w:szCs w:val="22"/>
              </w:rPr>
            </w:pPr>
            <w:r w:rsidRPr="00117327">
              <w:rPr>
                <w:bCs/>
                <w:sz w:val="22"/>
                <w:szCs w:val="22"/>
              </w:rPr>
              <w:t xml:space="preserve">Социальный </w:t>
            </w:r>
          </w:p>
        </w:tc>
        <w:tc>
          <w:tcPr>
            <w:tcW w:w="1896" w:type="pct"/>
          </w:tcPr>
          <w:p w:rsidR="001B6DE2" w:rsidRPr="00117327" w:rsidRDefault="001B6DE2" w:rsidP="00CF73CA">
            <w:pPr>
              <w:contextualSpacing/>
              <w:rPr>
                <w:sz w:val="22"/>
                <w:szCs w:val="22"/>
              </w:rPr>
            </w:pPr>
            <w:r w:rsidRPr="00117327">
              <w:rPr>
                <w:sz w:val="22"/>
                <w:szCs w:val="22"/>
              </w:rPr>
              <w:t>Количество созданных рабочих мест</w:t>
            </w:r>
          </w:p>
        </w:tc>
        <w:tc>
          <w:tcPr>
            <w:tcW w:w="1969" w:type="pct"/>
          </w:tcPr>
          <w:p w:rsidR="001B6DE2" w:rsidRPr="00117327" w:rsidRDefault="001B6DE2" w:rsidP="00CF73CA">
            <w:pPr>
              <w:contextualSpacing/>
              <w:rPr>
                <w:sz w:val="22"/>
                <w:szCs w:val="22"/>
              </w:rPr>
            </w:pPr>
            <w:r w:rsidRPr="00117327">
              <w:rPr>
                <w:sz w:val="22"/>
                <w:szCs w:val="22"/>
              </w:rPr>
              <w:t>в штуках</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Уровень социальной ответственности</w:t>
            </w:r>
          </w:p>
        </w:tc>
        <w:tc>
          <w:tcPr>
            <w:tcW w:w="1969" w:type="pct"/>
          </w:tcPr>
          <w:p w:rsidR="001B6DE2" w:rsidRPr="00117327" w:rsidRDefault="001B6DE2" w:rsidP="00CF73CA">
            <w:pPr>
              <w:contextualSpacing/>
              <w:rPr>
                <w:sz w:val="22"/>
                <w:szCs w:val="22"/>
              </w:rPr>
            </w:pPr>
            <w:r w:rsidRPr="00117327">
              <w:rPr>
                <w:sz w:val="22"/>
                <w:szCs w:val="22"/>
              </w:rPr>
              <w:t>в баллах от 1 до 10</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Влияние на местное сообщество</w:t>
            </w:r>
          </w:p>
        </w:tc>
        <w:tc>
          <w:tcPr>
            <w:tcW w:w="1969" w:type="pct"/>
          </w:tcPr>
          <w:p w:rsidR="001B6DE2" w:rsidRPr="00117327" w:rsidRDefault="001B6DE2" w:rsidP="00CF73CA">
            <w:pPr>
              <w:contextualSpacing/>
              <w:rPr>
                <w:sz w:val="22"/>
                <w:szCs w:val="22"/>
              </w:rPr>
            </w:pPr>
            <w:r w:rsidRPr="00117327">
              <w:rPr>
                <w:sz w:val="22"/>
                <w:szCs w:val="22"/>
              </w:rPr>
              <w:t>в процентах</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Уровень удовлетворенности сотрудников</w:t>
            </w:r>
          </w:p>
        </w:tc>
        <w:tc>
          <w:tcPr>
            <w:tcW w:w="1969" w:type="pct"/>
          </w:tcPr>
          <w:p w:rsidR="001B6DE2" w:rsidRPr="00117327" w:rsidRDefault="001B6DE2" w:rsidP="00CF73CA">
            <w:pPr>
              <w:contextualSpacing/>
              <w:rPr>
                <w:sz w:val="22"/>
                <w:szCs w:val="22"/>
              </w:rPr>
            </w:pPr>
            <w:r w:rsidRPr="00117327">
              <w:rPr>
                <w:sz w:val="22"/>
                <w:szCs w:val="22"/>
              </w:rPr>
              <w:t>в баллах от 1 до 10</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Социальная значимость проекта</w:t>
            </w:r>
          </w:p>
        </w:tc>
        <w:tc>
          <w:tcPr>
            <w:tcW w:w="1969" w:type="pct"/>
          </w:tcPr>
          <w:p w:rsidR="001B6DE2" w:rsidRPr="00117327" w:rsidRDefault="001B6DE2" w:rsidP="00CF73CA">
            <w:pPr>
              <w:contextualSpacing/>
              <w:rPr>
                <w:sz w:val="22"/>
                <w:szCs w:val="22"/>
              </w:rPr>
            </w:pPr>
            <w:r w:rsidRPr="00117327">
              <w:rPr>
                <w:sz w:val="22"/>
                <w:szCs w:val="22"/>
              </w:rPr>
              <w:t>в баллах от 1 до 10</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Инклюзивность и разнообразие</w:t>
            </w:r>
          </w:p>
        </w:tc>
        <w:tc>
          <w:tcPr>
            <w:tcW w:w="1969" w:type="pct"/>
          </w:tcPr>
          <w:p w:rsidR="001B6DE2" w:rsidRPr="00117327" w:rsidRDefault="001B6DE2" w:rsidP="00CF73CA">
            <w:pPr>
              <w:contextualSpacing/>
              <w:rPr>
                <w:sz w:val="22"/>
                <w:szCs w:val="22"/>
              </w:rPr>
            </w:pPr>
            <w:r w:rsidRPr="00117327">
              <w:rPr>
                <w:sz w:val="22"/>
                <w:szCs w:val="22"/>
              </w:rPr>
              <w:t>в процентах</w:t>
            </w:r>
          </w:p>
        </w:tc>
      </w:tr>
      <w:tr w:rsidR="001B6DE2" w:rsidRPr="00117327" w:rsidTr="00CF73CA">
        <w:tc>
          <w:tcPr>
            <w:tcW w:w="1135" w:type="pct"/>
            <w:vMerge w:val="restart"/>
          </w:tcPr>
          <w:p w:rsidR="001B6DE2" w:rsidRPr="00117327" w:rsidRDefault="001B6DE2" w:rsidP="00CF73CA">
            <w:pPr>
              <w:contextualSpacing/>
              <w:rPr>
                <w:sz w:val="22"/>
                <w:szCs w:val="22"/>
              </w:rPr>
            </w:pPr>
            <w:r w:rsidRPr="00117327">
              <w:rPr>
                <w:bCs/>
                <w:sz w:val="22"/>
                <w:szCs w:val="22"/>
              </w:rPr>
              <w:t xml:space="preserve">Экологический </w:t>
            </w:r>
          </w:p>
        </w:tc>
        <w:tc>
          <w:tcPr>
            <w:tcW w:w="1896" w:type="pct"/>
          </w:tcPr>
          <w:p w:rsidR="001B6DE2" w:rsidRPr="00117327" w:rsidRDefault="001B6DE2" w:rsidP="00CF73CA">
            <w:pPr>
              <w:contextualSpacing/>
              <w:rPr>
                <w:sz w:val="22"/>
                <w:szCs w:val="22"/>
              </w:rPr>
            </w:pPr>
            <w:r w:rsidRPr="00117327">
              <w:rPr>
                <w:sz w:val="22"/>
                <w:szCs w:val="22"/>
              </w:rPr>
              <w:t>Влияние на окружающую среду</w:t>
            </w:r>
          </w:p>
        </w:tc>
        <w:tc>
          <w:tcPr>
            <w:tcW w:w="1969" w:type="pct"/>
          </w:tcPr>
          <w:p w:rsidR="001B6DE2" w:rsidRPr="00117327" w:rsidRDefault="001B6DE2" w:rsidP="00CF73CA">
            <w:pPr>
              <w:contextualSpacing/>
              <w:rPr>
                <w:sz w:val="22"/>
                <w:szCs w:val="22"/>
              </w:rPr>
            </w:pPr>
            <w:r w:rsidRPr="00117327">
              <w:rPr>
                <w:sz w:val="22"/>
                <w:szCs w:val="22"/>
              </w:rPr>
              <w:t>в баллах от 1 до 10</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Уровень экологичности технологий</w:t>
            </w:r>
          </w:p>
        </w:tc>
        <w:tc>
          <w:tcPr>
            <w:tcW w:w="1969" w:type="pct"/>
          </w:tcPr>
          <w:p w:rsidR="001B6DE2" w:rsidRPr="00117327" w:rsidRDefault="001B6DE2" w:rsidP="00CF73CA">
            <w:pPr>
              <w:contextualSpacing/>
              <w:rPr>
                <w:sz w:val="22"/>
                <w:szCs w:val="22"/>
              </w:rPr>
            </w:pPr>
            <w:r w:rsidRPr="00117327">
              <w:rPr>
                <w:sz w:val="22"/>
                <w:szCs w:val="22"/>
              </w:rPr>
              <w:t>в процентах</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Снижение выбросов</w:t>
            </w:r>
          </w:p>
        </w:tc>
        <w:tc>
          <w:tcPr>
            <w:tcW w:w="1969" w:type="pct"/>
          </w:tcPr>
          <w:p w:rsidR="001B6DE2" w:rsidRPr="00117327" w:rsidRDefault="001B6DE2" w:rsidP="00CF73CA">
            <w:pPr>
              <w:contextualSpacing/>
              <w:rPr>
                <w:sz w:val="22"/>
                <w:szCs w:val="22"/>
              </w:rPr>
            </w:pPr>
            <w:r w:rsidRPr="00117327">
              <w:rPr>
                <w:sz w:val="22"/>
                <w:szCs w:val="22"/>
              </w:rPr>
              <w:t>в тоннах СО2</w:t>
            </w:r>
          </w:p>
        </w:tc>
      </w:tr>
      <w:tr w:rsidR="001B6DE2" w:rsidRPr="00117327" w:rsidTr="00CF73CA">
        <w:trPr>
          <w:trHeight w:val="691"/>
        </w:trPr>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Использование возобновляемых ресурсов</w:t>
            </w:r>
          </w:p>
        </w:tc>
        <w:tc>
          <w:tcPr>
            <w:tcW w:w="1969" w:type="pct"/>
          </w:tcPr>
          <w:p w:rsidR="001B6DE2" w:rsidRPr="00117327" w:rsidRDefault="001B6DE2" w:rsidP="00CF73CA">
            <w:pPr>
              <w:contextualSpacing/>
              <w:rPr>
                <w:sz w:val="22"/>
                <w:szCs w:val="22"/>
              </w:rPr>
            </w:pPr>
            <w:r w:rsidRPr="00117327">
              <w:rPr>
                <w:sz w:val="22"/>
                <w:szCs w:val="22"/>
              </w:rPr>
              <w:t>в процентах</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Количество отходов</w:t>
            </w:r>
          </w:p>
        </w:tc>
        <w:tc>
          <w:tcPr>
            <w:tcW w:w="1969" w:type="pct"/>
          </w:tcPr>
          <w:p w:rsidR="001B6DE2" w:rsidRPr="00117327" w:rsidRDefault="001B6DE2" w:rsidP="00CF73CA">
            <w:pPr>
              <w:contextualSpacing/>
              <w:rPr>
                <w:sz w:val="22"/>
                <w:szCs w:val="22"/>
              </w:rPr>
            </w:pPr>
            <w:r w:rsidRPr="00117327">
              <w:rPr>
                <w:sz w:val="22"/>
                <w:szCs w:val="22"/>
              </w:rPr>
              <w:t>в тоннах</w:t>
            </w:r>
          </w:p>
        </w:tc>
      </w:tr>
      <w:tr w:rsidR="001B6DE2" w:rsidRPr="00117327" w:rsidTr="00CF73CA">
        <w:tc>
          <w:tcPr>
            <w:tcW w:w="1135" w:type="pct"/>
            <w:vMerge/>
          </w:tcPr>
          <w:p w:rsidR="001B6DE2" w:rsidRPr="00117327" w:rsidRDefault="001B6DE2" w:rsidP="00CF73CA">
            <w:pPr>
              <w:ind w:firstLine="709"/>
              <w:contextualSpacing/>
              <w:rPr>
                <w:sz w:val="22"/>
                <w:szCs w:val="22"/>
              </w:rPr>
            </w:pPr>
          </w:p>
        </w:tc>
        <w:tc>
          <w:tcPr>
            <w:tcW w:w="1896" w:type="pct"/>
          </w:tcPr>
          <w:p w:rsidR="001B6DE2" w:rsidRPr="00117327" w:rsidRDefault="001B6DE2" w:rsidP="00CF73CA">
            <w:pPr>
              <w:contextualSpacing/>
              <w:rPr>
                <w:sz w:val="22"/>
                <w:szCs w:val="22"/>
              </w:rPr>
            </w:pPr>
            <w:r w:rsidRPr="00117327">
              <w:rPr>
                <w:sz w:val="22"/>
                <w:szCs w:val="22"/>
              </w:rPr>
              <w:t>Энергопотребление</w:t>
            </w:r>
          </w:p>
        </w:tc>
        <w:tc>
          <w:tcPr>
            <w:tcW w:w="1969" w:type="pct"/>
          </w:tcPr>
          <w:p w:rsidR="001B6DE2" w:rsidRPr="00117327" w:rsidRDefault="001B6DE2" w:rsidP="00CF73CA">
            <w:pPr>
              <w:contextualSpacing/>
              <w:rPr>
                <w:sz w:val="22"/>
                <w:szCs w:val="22"/>
              </w:rPr>
            </w:pPr>
            <w:r w:rsidRPr="00117327">
              <w:rPr>
                <w:sz w:val="22"/>
                <w:szCs w:val="22"/>
              </w:rPr>
              <w:t>в мегаватт-часах</w:t>
            </w:r>
          </w:p>
        </w:tc>
      </w:tr>
    </w:tbl>
    <w:p w:rsidR="001B6DE2" w:rsidRPr="00C36631" w:rsidRDefault="001B6DE2" w:rsidP="001B6DE2">
      <w:pPr>
        <w:spacing w:after="0" w:line="360" w:lineRule="auto"/>
        <w:contextualSpacing/>
        <w:jc w:val="both"/>
        <w:rPr>
          <w:rFonts w:ascii="Times New Roman" w:eastAsia="Times New Roman" w:hAnsi="Times New Roman" w:cs="Times New Roman"/>
          <w:bCs/>
          <w:sz w:val="28"/>
          <w:szCs w:val="28"/>
          <w:lang w:eastAsia="ru-RU"/>
        </w:rPr>
      </w:pPr>
    </w:p>
    <w:p w:rsidR="001B6DE2" w:rsidRPr="00C36631" w:rsidRDefault="001B6DE2" w:rsidP="001B6DE2">
      <w:pPr>
        <w:spacing w:after="0" w:line="360" w:lineRule="auto"/>
        <w:ind w:firstLine="709"/>
        <w:contextualSpacing/>
        <w:jc w:val="both"/>
        <w:rPr>
          <w:rFonts w:ascii="Times New Roman" w:eastAsia="Times New Roman" w:hAnsi="Times New Roman" w:cs="Times New Roman"/>
          <w:bCs/>
          <w:sz w:val="28"/>
          <w:szCs w:val="28"/>
          <w:lang w:eastAsia="ru-RU"/>
        </w:rPr>
      </w:pPr>
      <w:r w:rsidRPr="00C36631">
        <w:rPr>
          <w:rFonts w:ascii="Times New Roman" w:eastAsia="Times New Roman" w:hAnsi="Times New Roman" w:cs="Times New Roman"/>
          <w:bCs/>
          <w:sz w:val="28"/>
          <w:szCs w:val="28"/>
          <w:lang w:eastAsia="ru-RU"/>
        </w:rPr>
        <w:t xml:space="preserve"> Предлагается каждому показателю присваиваются баллы в зависимости от его значений. Например, для уровня новизны технологии можно </w:t>
      </w:r>
      <w:r w:rsidRPr="00C36631">
        <w:rPr>
          <w:rFonts w:ascii="Times New Roman" w:eastAsia="Times New Roman" w:hAnsi="Times New Roman" w:cs="Times New Roman"/>
          <w:bCs/>
          <w:sz w:val="28"/>
          <w:szCs w:val="28"/>
          <w:lang w:eastAsia="ru-RU"/>
        </w:rPr>
        <w:lastRenderedPageBreak/>
        <w:t>использовать шкалу от 1 до 10, где 1 — минимальный уровень новизны, а 10 — максимальный. Также для каждого аспекта устанавливаются веса, которые отражают значимость данного аспекта в контексте конкретного проекта. Веса могут быть определены экспертным методом или с использованием аналитической иерархической процедуры (AHP).</w:t>
      </w:r>
    </w:p>
    <w:p w:rsidR="001B6DE2" w:rsidRPr="00C36631" w:rsidRDefault="001B6DE2" w:rsidP="001B6DE2">
      <w:pPr>
        <w:spacing w:after="0" w:line="360" w:lineRule="auto"/>
        <w:ind w:firstLine="708"/>
        <w:contextualSpacing/>
        <w:jc w:val="both"/>
        <w:rPr>
          <w:rFonts w:ascii="Times New Roman" w:eastAsia="Times New Roman" w:hAnsi="Times New Roman" w:cs="Times New Roman"/>
          <w:bCs/>
          <w:sz w:val="28"/>
          <w:szCs w:val="28"/>
          <w:lang w:eastAsia="ru-RU"/>
        </w:rPr>
      </w:pPr>
      <w:r w:rsidRPr="00C36631">
        <w:rPr>
          <w:rFonts w:ascii="Times New Roman" w:eastAsia="Times New Roman" w:hAnsi="Times New Roman" w:cs="Times New Roman"/>
          <w:bCs/>
          <w:sz w:val="28"/>
          <w:szCs w:val="28"/>
          <w:lang w:eastAsia="ru-RU"/>
        </w:rPr>
        <w:t>Итоговый балл инновационного проекта рассчитывается по формуле (разработано автором):</w:t>
      </w:r>
    </w:p>
    <w:p w:rsidR="001B6DE2" w:rsidRPr="00C36631" w:rsidRDefault="001B6DE2" w:rsidP="001B6DE2">
      <w:pPr>
        <w:tabs>
          <w:tab w:val="left" w:pos="7230"/>
          <w:tab w:val="left" w:pos="8222"/>
        </w:tabs>
        <w:spacing w:after="0" w:line="360" w:lineRule="auto"/>
        <w:ind w:firstLine="708"/>
        <w:contextualSpacing/>
        <w:jc w:val="both"/>
        <w:rPr>
          <w:rFonts w:ascii="Times New Roman" w:eastAsia="Times New Roman" w:hAnsi="Times New Roman" w:cs="Times New Roman"/>
          <w:bCs/>
          <w:sz w:val="28"/>
          <w:szCs w:val="28"/>
          <w:lang w:eastAsia="ru-RU"/>
        </w:rPr>
      </w:pPr>
      <m:oMathPara>
        <m:oMath>
          <m:r>
            <w:rPr>
              <w:rFonts w:ascii="Cambria Math" w:eastAsia="Times New Roman" w:hAnsi="Cambria Math" w:cs="Times New Roman"/>
              <w:sz w:val="28"/>
              <w:szCs w:val="28"/>
              <w:lang w:eastAsia="ru-RU"/>
            </w:rPr>
            <m:t>Итоговый балл проекта=</m:t>
          </m:r>
          <m:nary>
            <m:naryPr>
              <m:chr m:val="∑"/>
              <m:limLoc m:val="subSup"/>
              <m:ctrlPr>
                <w:rPr>
                  <w:rFonts w:ascii="Cambria Math" w:eastAsia="Times New Roman" w:hAnsi="Cambria Math" w:cs="Times New Roman"/>
                  <w:bCs/>
                  <w:i/>
                  <w:sz w:val="28"/>
                  <w:szCs w:val="28"/>
                  <w:lang w:eastAsia="ru-RU"/>
                </w:rPr>
              </m:ctrlPr>
            </m:naryPr>
            <m:sub>
              <m:r>
                <w:rPr>
                  <w:rFonts w:ascii="Cambria Math" w:eastAsia="Times New Roman" w:hAnsi="Cambria Math" w:cs="Times New Roman"/>
                  <w:sz w:val="28"/>
                  <w:szCs w:val="28"/>
                  <w:lang w:eastAsia="ru-RU"/>
                </w:rPr>
                <m:t>i=1</m:t>
              </m:r>
            </m:sub>
            <m:sup>
              <m:r>
                <w:rPr>
                  <w:rFonts w:ascii="Cambria Math" w:eastAsia="Times New Roman" w:hAnsi="Cambria Math" w:cs="Times New Roman"/>
                  <w:sz w:val="28"/>
                  <w:szCs w:val="28"/>
                  <w:lang w:val="en-US" w:eastAsia="ru-RU"/>
                </w:rPr>
                <m:t>n</m:t>
              </m:r>
            </m:sup>
            <m:e>
              <m:r>
                <w:rPr>
                  <w:rFonts w:ascii="Cambria Math" w:eastAsia="Times New Roman" w:hAnsi="Cambria Math" w:cs="Times New Roman"/>
                  <w:sz w:val="28"/>
                  <w:szCs w:val="28"/>
                  <w:lang w:eastAsia="ru-RU"/>
                </w:rPr>
                <m:t>(</m:t>
              </m:r>
              <m:sSub>
                <m:sSubPr>
                  <m:ctrlPr>
                    <w:rPr>
                      <w:rFonts w:ascii="Cambria Math" w:eastAsia="Times New Roman" w:hAnsi="Cambria Math" w:cs="Times New Roman"/>
                      <w:bCs/>
                      <w:i/>
                      <w:sz w:val="28"/>
                      <w:szCs w:val="28"/>
                      <w:lang w:eastAsia="ru-RU"/>
                    </w:rPr>
                  </m:ctrlPr>
                </m:sSubPr>
                <m:e>
                  <m:r>
                    <w:rPr>
                      <w:rFonts w:ascii="Cambria Math" w:eastAsia="Times New Roman" w:hAnsi="Cambria Math" w:cs="Times New Roman"/>
                      <w:sz w:val="28"/>
                      <w:szCs w:val="28"/>
                      <w:lang w:eastAsia="ru-RU"/>
                    </w:rPr>
                    <m:t>P</m:t>
                  </m:r>
                </m:e>
                <m:sub>
                  <m:r>
                    <w:rPr>
                      <w:rFonts w:ascii="Cambria Math" w:eastAsia="Times New Roman" w:hAnsi="Cambria Math" w:cs="Times New Roman"/>
                      <w:sz w:val="28"/>
                      <w:szCs w:val="28"/>
                      <w:lang w:eastAsia="ru-RU"/>
                    </w:rPr>
                    <m:t>i</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bCs/>
                      <w:i/>
                      <w:sz w:val="28"/>
                      <w:szCs w:val="28"/>
                      <w:lang w:eastAsia="ru-RU"/>
                    </w:rPr>
                  </m:ctrlPr>
                </m:sSubPr>
                <m:e>
                  <m:r>
                    <w:rPr>
                      <w:rFonts w:ascii="Cambria Math" w:eastAsia="Times New Roman" w:hAnsi="Cambria Math" w:cs="Times New Roman"/>
                      <w:sz w:val="28"/>
                      <w:szCs w:val="28"/>
                      <w:lang w:eastAsia="ru-RU"/>
                    </w:rPr>
                    <m:t>W</m:t>
                  </m:r>
                </m:e>
                <m:sub>
                  <m:r>
                    <w:rPr>
                      <w:rFonts w:ascii="Cambria Math" w:eastAsia="Times New Roman" w:hAnsi="Cambria Math" w:cs="Times New Roman"/>
                      <w:sz w:val="28"/>
                      <w:szCs w:val="28"/>
                      <w:lang w:eastAsia="ru-RU"/>
                    </w:rPr>
                    <m:t>i</m:t>
                  </m:r>
                </m:sub>
              </m:sSub>
              <m:r>
                <w:rPr>
                  <w:rFonts w:ascii="Cambria Math" w:eastAsia="Times New Roman" w:hAnsi="Cambria Math" w:cs="Times New Roman"/>
                  <w:sz w:val="28"/>
                  <w:szCs w:val="28"/>
                  <w:lang w:eastAsia="ru-RU"/>
                </w:rPr>
                <m:t>)</m:t>
              </m:r>
            </m:e>
          </m:nary>
        </m:oMath>
      </m:oMathPara>
    </w:p>
    <w:p w:rsidR="001B6DE2" w:rsidRPr="00C36631" w:rsidRDefault="001B6DE2" w:rsidP="001B6DE2">
      <w:pPr>
        <w:spacing w:after="0" w:line="360" w:lineRule="auto"/>
        <w:ind w:left="708"/>
        <w:contextualSpacing/>
        <w:rPr>
          <w:rFonts w:ascii="Times New Roman" w:hAnsi="Times New Roman" w:cs="Times New Roman"/>
          <w:color w:val="0D0D0D"/>
          <w:sz w:val="28"/>
          <w:szCs w:val="28"/>
          <w:shd w:val="clear" w:color="auto" w:fill="FFFFFF"/>
        </w:rPr>
      </w:pPr>
      <w:r w:rsidRPr="00C36631">
        <w:rPr>
          <w:rFonts w:ascii="Times New Roman" w:hAnsi="Times New Roman" w:cs="Times New Roman"/>
          <w:color w:val="0D0D0D"/>
          <w:sz w:val="28"/>
          <w:szCs w:val="28"/>
          <w:shd w:val="clear" w:color="auto" w:fill="FFFFFF"/>
        </w:rPr>
        <w:t>где:</w:t>
      </w:r>
    </w:p>
    <w:p w:rsidR="001B6DE2" w:rsidRPr="00C36631" w:rsidRDefault="001B6DE2" w:rsidP="001B6DE2">
      <w:pPr>
        <w:spacing w:after="0" w:line="360" w:lineRule="auto"/>
        <w:contextualSpacing/>
        <w:rPr>
          <w:rFonts w:ascii="Times New Roman" w:hAnsi="Times New Roman" w:cs="Times New Roman"/>
          <w:color w:val="0D0D0D"/>
          <w:sz w:val="28"/>
          <w:szCs w:val="28"/>
          <w:shd w:val="clear" w:color="auto" w:fill="FFFFFF"/>
        </w:rPr>
      </w:pPr>
      <w:r w:rsidRPr="00C36631">
        <w:rPr>
          <w:rFonts w:ascii="Cambria Math" w:hAnsi="Cambria Math" w:cs="Cambria Math"/>
          <w:color w:val="0D0D0D"/>
          <w:sz w:val="28"/>
          <w:szCs w:val="28"/>
          <w:bdr w:val="none" w:sz="0" w:space="0" w:color="auto" w:frame="1"/>
          <w:shd w:val="clear" w:color="auto" w:fill="FFFFFF"/>
        </w:rPr>
        <w:t>𝑃𝑖</w:t>
      </w:r>
      <w:r w:rsidRPr="00C36631">
        <w:rPr>
          <w:rFonts w:ascii="Times New Roman" w:hAnsi="Times New Roman" w:cs="Times New Roman"/>
          <w:color w:val="0D0D0D"/>
          <w:sz w:val="28"/>
          <w:szCs w:val="28"/>
          <w:shd w:val="clear" w:color="auto" w:fill="FFFFFF"/>
        </w:rPr>
        <w:t xml:space="preserve"> — балл по i-му показателю; </w:t>
      </w:r>
    </w:p>
    <w:p w:rsidR="001B6DE2" w:rsidRPr="00C36631" w:rsidRDefault="001B6DE2" w:rsidP="001B6DE2">
      <w:pPr>
        <w:spacing w:after="0" w:line="360" w:lineRule="auto"/>
        <w:contextualSpacing/>
        <w:rPr>
          <w:rFonts w:ascii="Times New Roman" w:hAnsi="Times New Roman" w:cs="Times New Roman"/>
          <w:color w:val="0D0D0D"/>
          <w:sz w:val="28"/>
          <w:szCs w:val="28"/>
          <w:shd w:val="clear" w:color="auto" w:fill="FFFFFF"/>
        </w:rPr>
      </w:pPr>
      <w:r w:rsidRPr="00C36631">
        <w:rPr>
          <w:rFonts w:ascii="Cambria Math" w:hAnsi="Cambria Math" w:cs="Cambria Math"/>
          <w:color w:val="0D0D0D"/>
          <w:sz w:val="28"/>
          <w:szCs w:val="28"/>
          <w:bdr w:val="none" w:sz="0" w:space="0" w:color="auto" w:frame="1"/>
          <w:shd w:val="clear" w:color="auto" w:fill="FFFFFF"/>
        </w:rPr>
        <w:t>𝑊𝑖</w:t>
      </w:r>
      <w:r w:rsidRPr="00C36631">
        <w:rPr>
          <w:rFonts w:ascii="Times New Roman" w:hAnsi="Times New Roman" w:cs="Times New Roman"/>
          <w:color w:val="0D0D0D"/>
          <w:sz w:val="28"/>
          <w:szCs w:val="28"/>
          <w:shd w:val="clear" w:color="auto" w:fill="FFFFFF"/>
        </w:rPr>
        <w:t xml:space="preserve"> — вес i-го показателя;</w:t>
      </w:r>
    </w:p>
    <w:p w:rsidR="001B6DE2" w:rsidRPr="00C36631" w:rsidRDefault="001B6DE2" w:rsidP="001B6DE2">
      <w:pPr>
        <w:spacing w:after="0" w:line="360" w:lineRule="auto"/>
        <w:contextualSpacing/>
        <w:rPr>
          <w:rFonts w:ascii="Times New Roman" w:hAnsi="Times New Roman" w:cs="Times New Roman"/>
          <w:color w:val="0D0D0D"/>
          <w:sz w:val="28"/>
          <w:szCs w:val="28"/>
          <w:shd w:val="clear" w:color="auto" w:fill="FFFFFF"/>
        </w:rPr>
      </w:pPr>
      <w:r w:rsidRPr="00C36631">
        <w:rPr>
          <w:rFonts w:ascii="Cambria Math" w:hAnsi="Cambria Math" w:cs="Cambria Math"/>
          <w:color w:val="0D0D0D"/>
          <w:sz w:val="28"/>
          <w:szCs w:val="28"/>
          <w:bdr w:val="none" w:sz="0" w:space="0" w:color="auto" w:frame="1"/>
          <w:shd w:val="clear" w:color="auto" w:fill="FFFFFF"/>
        </w:rPr>
        <w:t>𝑛</w:t>
      </w:r>
      <w:r w:rsidRPr="00C36631">
        <w:rPr>
          <w:rFonts w:ascii="Times New Roman" w:hAnsi="Times New Roman" w:cs="Times New Roman"/>
          <w:color w:val="0D0D0D"/>
          <w:sz w:val="28"/>
          <w:szCs w:val="28"/>
          <w:shd w:val="clear" w:color="auto" w:fill="FFFFFF"/>
        </w:rPr>
        <w:t xml:space="preserve"> — количество показателей.</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Проекты в различных сферах могут требовать адаптации весов показателей. Например, для высокотехнологичных проектов научно-технический аспект может иметь больший вес, в то время как для социальных проектов больший акцент делается на социальные и экологические аспекты.</w:t>
      </w:r>
    </w:p>
    <w:p w:rsidR="001B6DE2" w:rsidRPr="00C36631" w:rsidRDefault="001B6DE2" w:rsidP="001B6DE2">
      <w:pPr>
        <w:spacing w:after="0" w:line="360" w:lineRule="auto"/>
        <w:ind w:firstLine="709"/>
        <w:contextualSpacing/>
        <w:jc w:val="both"/>
        <w:rPr>
          <w:rFonts w:ascii="Times New Roman" w:eastAsia="Times New Roman" w:hAnsi="Times New Roman" w:cs="Times New Roman"/>
          <w:b/>
          <w:sz w:val="28"/>
          <w:szCs w:val="28"/>
          <w:lang w:eastAsia="ru-RU"/>
        </w:rPr>
      </w:pPr>
      <w:r w:rsidRPr="00C36631">
        <w:rPr>
          <w:rFonts w:ascii="Times New Roman" w:eastAsia="Times New Roman" w:hAnsi="Times New Roman" w:cs="Times New Roman"/>
          <w:sz w:val="28"/>
          <w:szCs w:val="28"/>
          <w:lang w:eastAsia="ru-RU"/>
        </w:rPr>
        <w:t>Для принятия решений о выдаче гранта или субсидии компаниям, оптимальным будет считаться балл, равный или превышающий 70% от значения максимально возможного балла по проекту. Такой порог позволит обеспечить достаточно высокий уровень отбора, который гарантирует поддержку наиболее перспективных и значимых проектов, способных принести максимальную пользу экономике и обществу.</w:t>
      </w:r>
    </w:p>
    <w:p w:rsidR="001B6DE2"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Рассмотрим пример расчета на основе компании "ИнноваТех" разрабатывает инновационный проект по созданию и внедрению солнечных панелей нового поколения с повышенной эффективностью. Проект включает в себя научные исследования, разработку прототипов, тестирование, производство и коммерциализацию продукта.</w:t>
      </w:r>
    </w:p>
    <w:p w:rsidR="001B6DE2" w:rsidRPr="00535E7D" w:rsidRDefault="001B6DE2" w:rsidP="001B6DE2">
      <w:pPr>
        <w:spacing w:after="0" w:line="240" w:lineRule="auto"/>
        <w:jc w:val="both"/>
        <w:rPr>
          <w:rFonts w:ascii="Times New Roman" w:eastAsia="Times New Roman" w:hAnsi="Times New Roman" w:cs="Times New Roman"/>
          <w:bCs/>
          <w:sz w:val="28"/>
          <w:szCs w:val="28"/>
          <w:lang w:eastAsia="ru-RU"/>
        </w:rPr>
      </w:pPr>
    </w:p>
    <w:p w:rsidR="001B6DE2" w:rsidRPr="00535E7D" w:rsidRDefault="001B6DE2" w:rsidP="001B6DE2">
      <w:pPr>
        <w:spacing w:after="0" w:line="240" w:lineRule="auto"/>
        <w:jc w:val="both"/>
        <w:rPr>
          <w:rFonts w:ascii="Times New Roman" w:eastAsia="Times New Roman" w:hAnsi="Times New Roman" w:cs="Times New Roman"/>
          <w:bCs/>
          <w:sz w:val="28"/>
          <w:szCs w:val="28"/>
          <w:lang w:eastAsia="ru-RU"/>
        </w:rPr>
      </w:pPr>
    </w:p>
    <w:p w:rsidR="001B6DE2" w:rsidRPr="00535E7D" w:rsidRDefault="001B6DE2" w:rsidP="001B6DE2">
      <w:pPr>
        <w:spacing w:after="0" w:line="240" w:lineRule="auto"/>
        <w:jc w:val="both"/>
        <w:rPr>
          <w:rFonts w:ascii="Times New Roman" w:eastAsia="Times New Roman" w:hAnsi="Times New Roman" w:cs="Times New Roman"/>
          <w:bCs/>
          <w:sz w:val="28"/>
          <w:szCs w:val="28"/>
          <w:lang w:eastAsia="ru-RU"/>
        </w:rPr>
      </w:pPr>
    </w:p>
    <w:p w:rsidR="001B6DE2" w:rsidRPr="00117327" w:rsidRDefault="001B6DE2" w:rsidP="001B6DE2">
      <w:pPr>
        <w:spacing w:after="0" w:line="240" w:lineRule="auto"/>
        <w:ind w:left="-113"/>
        <w:jc w:val="both"/>
        <w:rPr>
          <w:rFonts w:ascii="Times New Roman" w:eastAsia="Times New Roman" w:hAnsi="Times New Roman" w:cs="Times New Roman"/>
          <w:bCs/>
          <w:sz w:val="28"/>
          <w:szCs w:val="28"/>
          <w:lang w:eastAsia="ru-RU"/>
        </w:rPr>
      </w:pPr>
      <w:r w:rsidRPr="00117327">
        <w:rPr>
          <w:rFonts w:ascii="Times New Roman" w:eastAsia="Times New Roman" w:hAnsi="Times New Roman" w:cs="Times New Roman"/>
          <w:bCs/>
          <w:sz w:val="28"/>
          <w:szCs w:val="28"/>
          <w:lang w:eastAsia="ru-RU"/>
        </w:rPr>
        <w:lastRenderedPageBreak/>
        <w:t>Таблица 5 – Пример расчета по предложенному методу (разработано автором)</w:t>
      </w:r>
    </w:p>
    <w:tbl>
      <w:tblPr>
        <w:tblStyle w:val="a3"/>
        <w:tblW w:w="5000" w:type="pct"/>
        <w:tblLook w:val="04A0" w:firstRow="1" w:lastRow="0" w:firstColumn="1" w:lastColumn="0" w:noHBand="0" w:noVBand="1"/>
      </w:tblPr>
      <w:tblGrid>
        <w:gridCol w:w="4936"/>
        <w:gridCol w:w="1489"/>
        <w:gridCol w:w="2076"/>
        <w:gridCol w:w="843"/>
      </w:tblGrid>
      <w:tr w:rsidR="001B6DE2" w:rsidRPr="00117327" w:rsidTr="00CF73CA">
        <w:tc>
          <w:tcPr>
            <w:tcW w:w="2641" w:type="pct"/>
          </w:tcPr>
          <w:p w:rsidR="001B6DE2" w:rsidRPr="00117327" w:rsidRDefault="001B6DE2" w:rsidP="00CF73CA">
            <w:pPr>
              <w:contextualSpacing/>
              <w:jc w:val="center"/>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Показатель</w:t>
            </w:r>
          </w:p>
        </w:tc>
        <w:tc>
          <w:tcPr>
            <w:tcW w:w="797" w:type="pct"/>
          </w:tcPr>
          <w:p w:rsidR="001B6DE2" w:rsidRPr="00117327" w:rsidRDefault="001B6DE2" w:rsidP="00CF73CA">
            <w:pPr>
              <w:contextualSpacing/>
              <w:jc w:val="center"/>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Балл</w:t>
            </w:r>
          </w:p>
          <w:p w:rsidR="001B6DE2" w:rsidRPr="00117327" w:rsidRDefault="001B6DE2" w:rsidP="00CF73CA">
            <w:pPr>
              <w:contextualSpacing/>
              <w:jc w:val="center"/>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(P)</w:t>
            </w:r>
          </w:p>
        </w:tc>
        <w:tc>
          <w:tcPr>
            <w:tcW w:w="1111" w:type="pct"/>
          </w:tcPr>
          <w:p w:rsidR="001B6DE2" w:rsidRPr="00117327" w:rsidRDefault="001B6DE2" w:rsidP="00CF73CA">
            <w:pPr>
              <w:contextualSpacing/>
              <w:jc w:val="center"/>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Вес</w:t>
            </w:r>
          </w:p>
          <w:p w:rsidR="001B6DE2" w:rsidRPr="00117327" w:rsidRDefault="001B6DE2" w:rsidP="00CF73CA">
            <w:pPr>
              <w:contextualSpacing/>
              <w:jc w:val="center"/>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(W)</w:t>
            </w:r>
          </w:p>
        </w:tc>
        <w:tc>
          <w:tcPr>
            <w:tcW w:w="451" w:type="pct"/>
            <w:tcBorders>
              <w:bottom w:val="single" w:sz="4" w:space="0" w:color="auto"/>
            </w:tcBorders>
          </w:tcPr>
          <w:p w:rsidR="001B6DE2" w:rsidRPr="00117327" w:rsidRDefault="001B6DE2" w:rsidP="00CF73CA">
            <w:pPr>
              <w:contextualSpacing/>
              <w:jc w:val="center"/>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Итог</w:t>
            </w:r>
          </w:p>
        </w:tc>
      </w:tr>
      <w:tr w:rsidR="001B6DE2" w:rsidRPr="00117327" w:rsidTr="00CF73CA">
        <w:trPr>
          <w:trHeight w:val="482"/>
        </w:trPr>
        <w:tc>
          <w:tcPr>
            <w:tcW w:w="4549" w:type="pct"/>
            <w:gridSpan w:val="3"/>
          </w:tcPr>
          <w:p w:rsidR="001B6DE2" w:rsidRPr="00117327" w:rsidRDefault="001B6DE2" w:rsidP="00CF73CA">
            <w:pPr>
              <w:contextualSpacing/>
              <w:jc w:val="both"/>
              <w:rPr>
                <w:rFonts w:ascii="Times New Roman" w:eastAsia="Times New Roman" w:hAnsi="Times New Roman" w:cs="Times New Roman"/>
                <w:b/>
                <w:bCs/>
                <w:sz w:val="24"/>
                <w:szCs w:val="24"/>
                <w:lang w:eastAsia="ru-RU"/>
              </w:rPr>
            </w:pPr>
            <w:r w:rsidRPr="00117327">
              <w:rPr>
                <w:rFonts w:ascii="Times New Roman" w:eastAsia="Times New Roman" w:hAnsi="Times New Roman" w:cs="Times New Roman"/>
                <w:b/>
                <w:sz w:val="24"/>
                <w:szCs w:val="24"/>
                <w:lang w:eastAsia="ru-RU"/>
              </w:rPr>
              <w:t>Научно-технический</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3,1</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Уровень новизны технологии</w:t>
            </w:r>
          </w:p>
        </w:tc>
        <w:tc>
          <w:tcPr>
            <w:tcW w:w="797" w:type="pct"/>
            <w:hideMark/>
          </w:tcPr>
          <w:p w:rsidR="001B6DE2" w:rsidRPr="00117327" w:rsidRDefault="001B6DE2" w:rsidP="00CF73CA">
            <w:pPr>
              <w:contextualSpacing/>
              <w:jc w:val="both"/>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9</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0,1</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0,9</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Потенциал для патентования</w:t>
            </w:r>
          </w:p>
        </w:tc>
        <w:tc>
          <w:tcPr>
            <w:tcW w:w="797" w:type="pct"/>
            <w:hideMark/>
          </w:tcPr>
          <w:p w:rsidR="001B6DE2" w:rsidRPr="00117327" w:rsidRDefault="001B6DE2" w:rsidP="00CF73CA">
            <w:pPr>
              <w:contextualSpacing/>
              <w:jc w:val="both"/>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8</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0,08</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0,64</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Совместимость с существующими технологиями</w:t>
            </w:r>
          </w:p>
        </w:tc>
        <w:tc>
          <w:tcPr>
            <w:tcW w:w="797" w:type="pct"/>
            <w:hideMark/>
          </w:tcPr>
          <w:p w:rsidR="001B6DE2" w:rsidRPr="00117327" w:rsidRDefault="001B6DE2" w:rsidP="00CF73CA">
            <w:pPr>
              <w:contextualSpacing/>
              <w:jc w:val="both"/>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7</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0,35</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Количество публикаций</w:t>
            </w:r>
          </w:p>
        </w:tc>
        <w:tc>
          <w:tcPr>
            <w:tcW w:w="797" w:type="pct"/>
            <w:hideMark/>
          </w:tcPr>
          <w:p w:rsidR="001B6DE2" w:rsidRPr="00117327" w:rsidRDefault="001B6DE2" w:rsidP="00CF73CA">
            <w:pPr>
              <w:contextualSpacing/>
              <w:jc w:val="both"/>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6</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0,3</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Научная обоснованность</w:t>
            </w:r>
          </w:p>
        </w:tc>
        <w:tc>
          <w:tcPr>
            <w:tcW w:w="797" w:type="pct"/>
            <w:hideMark/>
          </w:tcPr>
          <w:p w:rsidR="001B6DE2" w:rsidRPr="00117327" w:rsidRDefault="001B6DE2" w:rsidP="00CF73CA">
            <w:pPr>
              <w:contextualSpacing/>
              <w:jc w:val="both"/>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8</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0,07</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0,56</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Технологическая готовность</w:t>
            </w:r>
          </w:p>
        </w:tc>
        <w:tc>
          <w:tcPr>
            <w:tcW w:w="797" w:type="pct"/>
            <w:hideMark/>
          </w:tcPr>
          <w:p w:rsidR="001B6DE2" w:rsidRPr="00117327" w:rsidRDefault="001B6DE2" w:rsidP="00CF73CA">
            <w:pPr>
              <w:contextualSpacing/>
              <w:jc w:val="both"/>
              <w:rPr>
                <w:rFonts w:ascii="Times New Roman" w:eastAsia="Times New Roman" w:hAnsi="Times New Roman" w:cs="Times New Roman"/>
                <w:bCs/>
                <w:sz w:val="24"/>
                <w:szCs w:val="24"/>
                <w:lang w:eastAsia="ru-RU"/>
              </w:rPr>
            </w:pPr>
            <w:r w:rsidRPr="00117327">
              <w:rPr>
                <w:rFonts w:ascii="Times New Roman" w:eastAsia="Times New Roman" w:hAnsi="Times New Roman" w:cs="Times New Roman"/>
                <w:bCs/>
                <w:sz w:val="24"/>
                <w:szCs w:val="24"/>
                <w:lang w:eastAsia="ru-RU"/>
              </w:rPr>
              <w:t>7</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0,35</w:t>
            </w:r>
          </w:p>
        </w:tc>
      </w:tr>
      <w:tr w:rsidR="001B6DE2" w:rsidRPr="00117327" w:rsidTr="00CF73CA">
        <w:trPr>
          <w:trHeight w:val="482"/>
        </w:trPr>
        <w:tc>
          <w:tcPr>
            <w:tcW w:w="4549" w:type="pct"/>
            <w:gridSpan w:val="3"/>
          </w:tcPr>
          <w:p w:rsidR="001B6DE2" w:rsidRPr="00117327" w:rsidRDefault="001B6DE2" w:rsidP="00CF73CA">
            <w:pPr>
              <w:contextualSpacing/>
              <w:rPr>
                <w:rFonts w:ascii="Times New Roman" w:eastAsia="Times New Roman" w:hAnsi="Times New Roman" w:cs="Times New Roman"/>
                <w:b/>
                <w:sz w:val="24"/>
                <w:szCs w:val="24"/>
                <w:lang w:eastAsia="ru-RU"/>
              </w:rPr>
            </w:pPr>
            <w:r w:rsidRPr="00117327">
              <w:rPr>
                <w:rFonts w:ascii="Times New Roman" w:eastAsia="Times New Roman" w:hAnsi="Times New Roman" w:cs="Times New Roman"/>
                <w:b/>
                <w:bCs/>
                <w:sz w:val="24"/>
                <w:szCs w:val="24"/>
                <w:lang w:eastAsia="ru-RU"/>
              </w:rPr>
              <w:t>Экономический</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4,8</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Ожидаемая прибыль</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9</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0,15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1,35</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Срок окупаемости</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7</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0,1</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0,7</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Внутренняя норма доходности (IRR)</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8</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0,1</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0,8</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Объем инвестиций</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6</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0,3</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Чистая приведенная стоимость (NPV)</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9</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0,1</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0,9</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Коэффициент рентабельности (ROI)</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8</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0,4</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Уровень рыночного спроса</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7</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0,35</w:t>
            </w:r>
          </w:p>
        </w:tc>
      </w:tr>
      <w:tr w:rsidR="001B6DE2" w:rsidRPr="00117327" w:rsidTr="00CF73CA">
        <w:trPr>
          <w:trHeight w:val="482"/>
        </w:trPr>
        <w:tc>
          <w:tcPr>
            <w:tcW w:w="2641" w:type="pct"/>
          </w:tcPr>
          <w:p w:rsidR="001B6DE2" w:rsidRPr="00117327" w:rsidRDefault="001B6DE2" w:rsidP="00CF73CA">
            <w:pPr>
              <w:contextualSpacing/>
              <w:rPr>
                <w:rFonts w:ascii="Times New Roman" w:eastAsia="Times New Roman" w:hAnsi="Times New Roman" w:cs="Times New Roman"/>
                <w:b/>
                <w:sz w:val="24"/>
                <w:szCs w:val="24"/>
                <w:lang w:eastAsia="ru-RU"/>
              </w:rPr>
            </w:pPr>
            <w:r w:rsidRPr="00117327">
              <w:rPr>
                <w:rFonts w:ascii="Times New Roman" w:eastAsia="Times New Roman" w:hAnsi="Times New Roman" w:cs="Times New Roman"/>
                <w:b/>
                <w:bCs/>
                <w:sz w:val="24"/>
                <w:szCs w:val="24"/>
                <w:lang w:eastAsia="ru-RU"/>
              </w:rPr>
              <w:t>Ресурсный</w:t>
            </w:r>
          </w:p>
        </w:tc>
        <w:tc>
          <w:tcPr>
            <w:tcW w:w="797" w:type="pct"/>
          </w:tcPr>
          <w:p w:rsidR="001B6DE2" w:rsidRPr="00117327" w:rsidRDefault="001B6DE2" w:rsidP="00CF73CA">
            <w:pPr>
              <w:contextualSpacing/>
              <w:jc w:val="both"/>
              <w:rPr>
                <w:rFonts w:ascii="Times New Roman" w:eastAsia="Times New Roman" w:hAnsi="Times New Roman" w:cs="Times New Roman"/>
                <w:sz w:val="24"/>
                <w:szCs w:val="24"/>
                <w:lang w:eastAsia="ru-RU"/>
              </w:rPr>
            </w:pPr>
          </w:p>
        </w:tc>
        <w:tc>
          <w:tcPr>
            <w:tcW w:w="1111" w:type="pct"/>
          </w:tcPr>
          <w:p w:rsidR="001B6DE2" w:rsidRPr="00117327" w:rsidRDefault="001B6DE2" w:rsidP="00CF73CA">
            <w:pPr>
              <w:contextualSpacing/>
              <w:jc w:val="both"/>
              <w:rPr>
                <w:rFonts w:ascii="Times New Roman" w:eastAsia="Times New Roman" w:hAnsi="Times New Roman" w:cs="Times New Roman"/>
                <w:sz w:val="24"/>
                <w:szCs w:val="24"/>
                <w:lang w:eastAsia="ru-RU"/>
              </w:rPr>
            </w:pP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2,1</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Доступность необходимых ресурсов</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8</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0,4</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Стоимость ресурсов</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7</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0,35</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Эффективность использования ресурсов</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8</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0,4</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Количество необходимых трудовых ресурсов</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6</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0,3</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Время на разработку</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7</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0,35</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Затраты на обучение и подготовку кадров</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6</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0,3</w:t>
            </w:r>
          </w:p>
        </w:tc>
      </w:tr>
      <w:tr w:rsidR="001B6DE2" w:rsidRPr="00117327" w:rsidTr="00CF73CA">
        <w:trPr>
          <w:trHeight w:val="482"/>
        </w:trPr>
        <w:tc>
          <w:tcPr>
            <w:tcW w:w="4549" w:type="pct"/>
            <w:gridSpan w:val="3"/>
          </w:tcPr>
          <w:p w:rsidR="001B6DE2" w:rsidRPr="00117327" w:rsidRDefault="001B6DE2" w:rsidP="00CF73CA">
            <w:pPr>
              <w:contextualSpacing/>
              <w:rPr>
                <w:rFonts w:ascii="Times New Roman" w:eastAsia="Times New Roman" w:hAnsi="Times New Roman" w:cs="Times New Roman"/>
                <w:b/>
                <w:sz w:val="24"/>
                <w:szCs w:val="24"/>
                <w:lang w:eastAsia="ru-RU"/>
              </w:rPr>
            </w:pPr>
            <w:r w:rsidRPr="00117327">
              <w:rPr>
                <w:rFonts w:ascii="Times New Roman" w:eastAsia="Times New Roman" w:hAnsi="Times New Roman" w:cs="Times New Roman"/>
                <w:b/>
                <w:bCs/>
                <w:sz w:val="24"/>
                <w:szCs w:val="24"/>
                <w:lang w:eastAsia="ru-RU"/>
              </w:rPr>
              <w:t>Социальный</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2,3</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Количество созданных рабочих мест</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9</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0,45</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Уровень социальной ответственности</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8</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0,4</w:t>
            </w:r>
          </w:p>
        </w:tc>
      </w:tr>
      <w:tr w:rsidR="001B6DE2" w:rsidRPr="00117327" w:rsidTr="00CF73CA">
        <w:trPr>
          <w:trHeight w:val="482"/>
        </w:trPr>
        <w:tc>
          <w:tcPr>
            <w:tcW w:w="2641" w:type="pct"/>
            <w:tcBorders>
              <w:bottom w:val="single" w:sz="4" w:space="0" w:color="auto"/>
            </w:tcBorders>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Влияние на местное сообщество</w:t>
            </w:r>
          </w:p>
        </w:tc>
        <w:tc>
          <w:tcPr>
            <w:tcW w:w="797" w:type="pct"/>
            <w:tcBorders>
              <w:bottom w:val="single" w:sz="4" w:space="0" w:color="auto"/>
            </w:tcBorders>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7</w:t>
            </w:r>
          </w:p>
        </w:tc>
        <w:tc>
          <w:tcPr>
            <w:tcW w:w="1111" w:type="pct"/>
            <w:tcBorders>
              <w:bottom w:val="single" w:sz="4" w:space="0" w:color="auto"/>
            </w:tcBorders>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0,35</w:t>
            </w:r>
          </w:p>
        </w:tc>
      </w:tr>
      <w:tr w:rsidR="001B6DE2" w:rsidRPr="00117327" w:rsidTr="00CF73CA">
        <w:trPr>
          <w:trHeight w:val="482"/>
        </w:trPr>
        <w:tc>
          <w:tcPr>
            <w:tcW w:w="2641" w:type="pct"/>
            <w:tcBorders>
              <w:bottom w:val="single" w:sz="4" w:space="0" w:color="auto"/>
            </w:tcBorders>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Уровень удовлетворенности сотрудников</w:t>
            </w:r>
          </w:p>
        </w:tc>
        <w:tc>
          <w:tcPr>
            <w:tcW w:w="797" w:type="pct"/>
            <w:tcBorders>
              <w:bottom w:val="single" w:sz="4" w:space="0" w:color="auto"/>
            </w:tcBorders>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7</w:t>
            </w:r>
          </w:p>
        </w:tc>
        <w:tc>
          <w:tcPr>
            <w:tcW w:w="1111" w:type="pct"/>
            <w:tcBorders>
              <w:bottom w:val="single" w:sz="4" w:space="0" w:color="auto"/>
            </w:tcBorders>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0,35</w:t>
            </w:r>
          </w:p>
        </w:tc>
      </w:tr>
    </w:tbl>
    <w:p w:rsidR="001B6DE2" w:rsidRDefault="001B6DE2" w:rsidP="001B6DE2">
      <w:pPr>
        <w:spacing w:after="0" w:line="360" w:lineRule="auto"/>
        <w:contextualSpacing/>
        <w:jc w:val="both"/>
        <w:rPr>
          <w:rFonts w:ascii="Times New Roman" w:eastAsia="Times New Roman" w:hAnsi="Times New Roman" w:cs="Times New Roman"/>
          <w:sz w:val="28"/>
          <w:szCs w:val="28"/>
          <w:lang w:eastAsia="ru-RU"/>
        </w:rPr>
      </w:pPr>
    </w:p>
    <w:p w:rsidR="001B6DE2" w:rsidRDefault="001B6DE2" w:rsidP="001B6DE2">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 5</w:t>
      </w:r>
    </w:p>
    <w:tbl>
      <w:tblPr>
        <w:tblStyle w:val="a3"/>
        <w:tblW w:w="5000" w:type="pct"/>
        <w:tblLook w:val="04A0" w:firstRow="1" w:lastRow="0" w:firstColumn="1" w:lastColumn="0" w:noHBand="0" w:noVBand="1"/>
      </w:tblPr>
      <w:tblGrid>
        <w:gridCol w:w="4936"/>
        <w:gridCol w:w="1489"/>
        <w:gridCol w:w="2076"/>
        <w:gridCol w:w="843"/>
      </w:tblGrid>
      <w:tr w:rsidR="001B6DE2" w:rsidRPr="00117327" w:rsidTr="00CF73CA">
        <w:trPr>
          <w:trHeight w:val="482"/>
        </w:trPr>
        <w:tc>
          <w:tcPr>
            <w:tcW w:w="2641" w:type="pct"/>
            <w:tcBorders>
              <w:top w:val="single" w:sz="4" w:space="0" w:color="auto"/>
            </w:tcBorders>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Социальная значимость проекта</w:t>
            </w:r>
          </w:p>
        </w:tc>
        <w:tc>
          <w:tcPr>
            <w:tcW w:w="797" w:type="pct"/>
            <w:tcBorders>
              <w:top w:val="single" w:sz="4" w:space="0" w:color="auto"/>
            </w:tcBorders>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8</w:t>
            </w:r>
          </w:p>
        </w:tc>
        <w:tc>
          <w:tcPr>
            <w:tcW w:w="1111" w:type="pct"/>
            <w:tcBorders>
              <w:top w:val="single" w:sz="4" w:space="0" w:color="auto"/>
            </w:tcBorders>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0,4</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Инклюзивность и разнообразие</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7</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Borders>
              <w:top w:val="single" w:sz="4" w:space="0" w:color="auto"/>
              <w:left w:val="nil"/>
              <w:bottom w:val="single" w:sz="4" w:space="0" w:color="auto"/>
              <w:right w:val="single" w:sz="4" w:space="0" w:color="auto"/>
            </w:tcBorders>
            <w:shd w:val="clear" w:color="auto" w:fill="auto"/>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0,35</w:t>
            </w:r>
          </w:p>
        </w:tc>
      </w:tr>
      <w:tr w:rsidR="001B6DE2" w:rsidRPr="00117327" w:rsidTr="00CF73CA">
        <w:trPr>
          <w:trHeight w:val="482"/>
        </w:trPr>
        <w:tc>
          <w:tcPr>
            <w:tcW w:w="4549" w:type="pct"/>
            <w:gridSpan w:val="3"/>
          </w:tcPr>
          <w:p w:rsidR="001B6DE2" w:rsidRPr="00117327" w:rsidRDefault="001B6DE2" w:rsidP="00CF73CA">
            <w:pPr>
              <w:contextualSpacing/>
              <w:rPr>
                <w:rFonts w:ascii="Times New Roman" w:eastAsia="Times New Roman" w:hAnsi="Times New Roman" w:cs="Times New Roman"/>
                <w:b/>
                <w:sz w:val="24"/>
                <w:szCs w:val="24"/>
                <w:lang w:eastAsia="ru-RU"/>
              </w:rPr>
            </w:pPr>
            <w:r w:rsidRPr="00117327">
              <w:rPr>
                <w:rFonts w:ascii="Times New Roman" w:eastAsia="Times New Roman" w:hAnsi="Times New Roman" w:cs="Times New Roman"/>
                <w:b/>
                <w:bCs/>
                <w:sz w:val="24"/>
                <w:szCs w:val="24"/>
                <w:lang w:eastAsia="ru-RU"/>
              </w:rPr>
              <w:t xml:space="preserve">Экологический </w:t>
            </w:r>
          </w:p>
        </w:tc>
        <w:tc>
          <w:tcPr>
            <w:tcW w:w="451" w:type="pct"/>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3,3</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Влияние на окружающую среду</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9</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0,1</w:t>
            </w:r>
          </w:p>
        </w:tc>
        <w:tc>
          <w:tcPr>
            <w:tcW w:w="451" w:type="pct"/>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0,9</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Уровень экологичности технологий</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8</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0,4</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Снижение выбросов</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9</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0,1</w:t>
            </w:r>
          </w:p>
        </w:tc>
        <w:tc>
          <w:tcPr>
            <w:tcW w:w="451" w:type="pct"/>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0,9</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Использование возобновляемых ресурсов</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8</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0,4</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Количество отходов</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7</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0,35</w:t>
            </w:r>
          </w:p>
        </w:tc>
      </w:tr>
      <w:tr w:rsidR="001B6DE2" w:rsidRPr="00117327" w:rsidTr="00CF73CA">
        <w:trPr>
          <w:trHeight w:val="482"/>
        </w:trPr>
        <w:tc>
          <w:tcPr>
            <w:tcW w:w="2641" w:type="pct"/>
            <w:hideMark/>
          </w:tcPr>
          <w:p w:rsidR="001B6DE2" w:rsidRPr="00117327" w:rsidRDefault="001B6DE2" w:rsidP="00CF73CA">
            <w:pPr>
              <w:contextualSpacing/>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Энергопотребление</w:t>
            </w:r>
          </w:p>
        </w:tc>
        <w:tc>
          <w:tcPr>
            <w:tcW w:w="797"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7</w:t>
            </w:r>
          </w:p>
        </w:tc>
        <w:tc>
          <w:tcPr>
            <w:tcW w:w="1111" w:type="pct"/>
            <w:hideMark/>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0,05</w:t>
            </w:r>
          </w:p>
        </w:tc>
        <w:tc>
          <w:tcPr>
            <w:tcW w:w="451" w:type="pct"/>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0,35</w:t>
            </w:r>
          </w:p>
        </w:tc>
      </w:tr>
      <w:tr w:rsidR="001B6DE2" w:rsidRPr="00117327" w:rsidTr="00CF73CA">
        <w:trPr>
          <w:trHeight w:val="482"/>
        </w:trPr>
        <w:tc>
          <w:tcPr>
            <w:tcW w:w="4549" w:type="pct"/>
            <w:gridSpan w:val="3"/>
          </w:tcPr>
          <w:p w:rsidR="001B6DE2" w:rsidRPr="00117327" w:rsidRDefault="001B6DE2" w:rsidP="00CF73CA">
            <w:pPr>
              <w:contextualSpacing/>
              <w:jc w:val="both"/>
              <w:rPr>
                <w:rFonts w:ascii="Times New Roman" w:eastAsia="Times New Roman" w:hAnsi="Times New Roman" w:cs="Times New Roman"/>
                <w:b/>
                <w:sz w:val="24"/>
                <w:szCs w:val="24"/>
                <w:lang w:eastAsia="ru-RU"/>
              </w:rPr>
            </w:pPr>
            <w:r w:rsidRPr="00117327">
              <w:rPr>
                <w:rFonts w:ascii="Times New Roman" w:eastAsia="Times New Roman" w:hAnsi="Times New Roman" w:cs="Times New Roman"/>
                <w:b/>
                <w:sz w:val="24"/>
                <w:szCs w:val="24"/>
                <w:lang w:eastAsia="ru-RU"/>
              </w:rPr>
              <w:t>Итог</w:t>
            </w:r>
          </w:p>
        </w:tc>
        <w:tc>
          <w:tcPr>
            <w:tcW w:w="451" w:type="pct"/>
          </w:tcPr>
          <w:p w:rsidR="001B6DE2" w:rsidRPr="00117327" w:rsidRDefault="001B6DE2" w:rsidP="00CF73CA">
            <w:pPr>
              <w:contextualSpacing/>
              <w:jc w:val="both"/>
              <w:rPr>
                <w:rFonts w:ascii="Times New Roman" w:eastAsia="Times New Roman" w:hAnsi="Times New Roman" w:cs="Times New Roman"/>
                <w:sz w:val="24"/>
                <w:szCs w:val="24"/>
                <w:lang w:eastAsia="ru-RU"/>
              </w:rPr>
            </w:pPr>
            <w:r w:rsidRPr="00117327">
              <w:rPr>
                <w:rFonts w:ascii="Times New Roman" w:eastAsia="Times New Roman" w:hAnsi="Times New Roman" w:cs="Times New Roman"/>
                <w:sz w:val="24"/>
                <w:szCs w:val="24"/>
                <w:lang w:eastAsia="ru-RU"/>
              </w:rPr>
              <w:t>15,6</w:t>
            </w:r>
          </w:p>
        </w:tc>
      </w:tr>
    </w:tbl>
    <w:p w:rsidR="001B6DE2" w:rsidRPr="00C36631" w:rsidRDefault="001B6DE2" w:rsidP="001B6DE2">
      <w:pPr>
        <w:spacing w:after="0" w:line="360" w:lineRule="auto"/>
        <w:contextualSpacing/>
        <w:jc w:val="both"/>
        <w:rPr>
          <w:rFonts w:ascii="Times New Roman" w:eastAsia="Times New Roman" w:hAnsi="Times New Roman" w:cs="Times New Roman"/>
          <w:sz w:val="28"/>
          <w:szCs w:val="28"/>
          <w:lang w:eastAsia="ru-RU"/>
        </w:rPr>
      </w:pPr>
    </w:p>
    <w:p w:rsidR="001B6DE2" w:rsidRPr="00C36631" w:rsidRDefault="001B6DE2" w:rsidP="001B6DE2">
      <w:pPr>
        <w:spacing w:after="0" w:line="360" w:lineRule="auto"/>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Проект компании "ИнноваТех" по разработке нового поколения солнечных панелей получил общую оценку 15.60, что указывает на его высокий потенциал и эффективность. Высокие баллы по научно-техническому, экономическому и экологическому аспектам свидетельствуют о новизне и перспективности технологии, а также о ее финансовой и экологической целесообразности. Учитывая все аспекты, проект заслуживает поддержки и финансирования.</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Таким образом, предложенный многокритериальный метод оценки, включающий научно-технический, экономический, ресурсный, социальный и экологический аспекты, позволит обеспечить комплексную и объективную оценку инновационных проектов. Это поспособствует более рациональному и справедливому распределению субсидий и грантов, минимизации рисков для государственных инвестиций и поддержке действительно перспективных и значимых проектов. Использование данного метода оценки позволяет не только повысить эффективность распределения финансовых ресурсов, но и способствует стимулированию инновационной активности, экономическому развитию и улучшению качества жизни населения.</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p>
    <w:p w:rsidR="001B6DE2" w:rsidRPr="00117327" w:rsidRDefault="001B6DE2" w:rsidP="001B6DE2">
      <w:pPr>
        <w:spacing w:after="0" w:line="360" w:lineRule="auto"/>
        <w:ind w:firstLine="851"/>
        <w:jc w:val="both"/>
        <w:textAlignment w:val="baseline"/>
        <w:rPr>
          <w:rFonts w:ascii="Segoe UI" w:eastAsia="Times New Roman" w:hAnsi="Segoe UI" w:cs="Segoe UI"/>
          <w:b/>
          <w:sz w:val="18"/>
          <w:szCs w:val="18"/>
          <w:lang w:eastAsia="ru-RU"/>
        </w:rPr>
      </w:pPr>
      <w:r w:rsidRPr="00117327">
        <w:rPr>
          <w:rFonts w:ascii="Times New Roman" w:eastAsia="Times New Roman" w:hAnsi="Times New Roman" w:cs="Times New Roman"/>
          <w:b/>
          <w:sz w:val="28"/>
          <w:szCs w:val="28"/>
          <w:lang w:eastAsia="ru-RU"/>
        </w:rPr>
        <w:lastRenderedPageBreak/>
        <w:t>3.2 Предложения по совершенствованию системы налогового стимулирования инновационного бизнеса </w:t>
      </w:r>
    </w:p>
    <w:p w:rsidR="001B6DE2" w:rsidRPr="00C36631" w:rsidRDefault="001B6DE2" w:rsidP="001B6DE2">
      <w:pPr>
        <w:spacing w:after="0" w:line="360" w:lineRule="auto"/>
        <w:contextualSpacing/>
        <w:jc w:val="both"/>
        <w:rPr>
          <w:rFonts w:ascii="Times New Roman" w:eastAsia="Times New Roman" w:hAnsi="Times New Roman" w:cs="Times New Roman"/>
          <w:sz w:val="28"/>
          <w:szCs w:val="28"/>
          <w:lang w:eastAsia="ru-RU"/>
        </w:rPr>
      </w:pP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Налоговое стимулирование инновационного бизнеса в России играет ключевую роль в развитии экономики, создании новых рабочих мест и повышении конкурентоспособности страны на мировом рынке. Налоговые льготы и вычеты могут существенно снизить финансовую нагрузку на предприятия, занимающиеся научно-исследовательскими и опытно-конструкторскими работами (НИОКР), что в свою очередь стимулирует инновационную активность. Однако текущая система налогового стимулирования в России имеет как значительные преимущества, так и ряд существенных недостатков, которые необходимо учитывать при разработке новых механизмов поддержки.</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Одним из основных преимуществ налогового стимулирования является снижение налоговой нагрузки на предприятия. Благодаря налоговым льготам и вычетам компании могут направлять больше ресурсов на разработку и внедрение инновационных технологий, что способствует ускорению научно-технического прогресса. Введение налоговых льгот также способствует привлечению дополнительных инвестиций в НИОКР, что особенно важно для инновационных компаний, которые часто сталкиваются с дефицитом финансовых ресурсов. Кроме того, налоговые льготы позволяют российским компаниям повышать свою конкурентоспособность на международном рынке, создавая высокотехнологичные продукты и услуги, которые могут успешно конкурировать с зарубежными аналогами.</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 xml:space="preserve">Несмотря на очевидные преимущества, текущая система налогового стимулирования инновационного бизнеса в России имеет ряд серьезных недостатков. Большинство налоговых льгот ориентированы на крупные предприятия, что создает дисбаланс в поддержке. В 2024 году исследование, проведенное аналитическим центром «Эксперт», показало, что только 20% малых инновационных предприятий смогли воспользоваться налоговыми </w:t>
      </w:r>
      <w:r w:rsidRPr="00C36631">
        <w:rPr>
          <w:rFonts w:ascii="Times New Roman" w:eastAsia="Times New Roman" w:hAnsi="Times New Roman" w:cs="Times New Roman"/>
          <w:sz w:val="28"/>
          <w:szCs w:val="28"/>
          <w:lang w:eastAsia="ru-RU"/>
        </w:rPr>
        <w:lastRenderedPageBreak/>
        <w:t>льготами, предназначенными для НИОКР [89]. Остальные предприятия либо не соответствовали высоким требованиям, либо не смогли пройти сложную процедуру подачи заявок. Это указывает на необходимость разработки специальных налоговых режимов и льгот, ориентированных на поддержку МСП.</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Еще одной значительной проблемой является отсутствие налоговых стимулов для частных инвестиций в НИОКР. В 2023 году объем частных инвестиций в НИОКР в России составил всего 2% от общего объема инвестиций в инновационные проекты [44]. Это связано с отсутствием налоговых вычетов и льгот для частных лиц и компаний, желающих инвестировать в НИОКР, что ограничивает привлечение частного капитала в инновационные разработки. Недостаток налоговых стимулов для частных инвесторов значительно снижает возможности для финансирования инновационных проектов, ограничивая их потенциал и замедляя темпы научно-технического прогресса.</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Одним из направлений по совершенствованию системы налогового стимулирования инновационного бизнеса является введение налоговых вычетов для компаний и частных лиц, инвестирующих в НИОКР.</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Предлагается введение дифференцированной системы налогового вычета на прибыль при инвестировании в НИОКР для стимулирования компаний инвестировать в инновационные проекты в России. На текущий момент подобный механизм отсутствует. Для повышения эффективности налоговых льгот и увеличения объема инвестиций предлагается усовершенствовать существующую систему и ввести дифференцированные ставки налогового вычета, зависящие от суммы инвестиций. Введение налогового вычета на прибыль будет иметь ряд конкретных критериев для получения, что обеспечит целенаправленную поддержку и контроль за использованием средств.</w:t>
      </w:r>
    </w:p>
    <w:p w:rsidR="001B6DE2"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 xml:space="preserve">Предлагаемая структура налогового вычета на прибыль состоит из трех уровней, которые учитывают различные масштабы инвестиций и </w:t>
      </w:r>
      <w:r w:rsidRPr="00C36631">
        <w:rPr>
          <w:rFonts w:ascii="Times New Roman" w:eastAsia="Times New Roman" w:hAnsi="Times New Roman" w:cs="Times New Roman"/>
          <w:sz w:val="28"/>
          <w:szCs w:val="28"/>
          <w:lang w:eastAsia="ru-RU"/>
        </w:rPr>
        <w:lastRenderedPageBreak/>
        <w:t>предоставляют более значительные стимулы для крупных инвесторов. Такая структура позволяет поддерживать как малые, так и крупные проекты, обеспечивая гибкость и справедливость в налоговом стимулировании. Инвестиции до 5 миллионов рублей будут иметь налоговый вычет в размере 5% от суммы инвестиций, инвестиции от 5 до 20 миллионов рублей — вычет в размере 7%, а инвестиции свыше 20 миллионов рублей — вычет в размере 10% (таблица 6).</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p>
    <w:p w:rsidR="001B6DE2" w:rsidRPr="00117327" w:rsidRDefault="001B6DE2" w:rsidP="001B6DE2">
      <w:pPr>
        <w:spacing w:after="0" w:line="240" w:lineRule="auto"/>
        <w:ind w:left="-113"/>
        <w:contextualSpacing/>
        <w:jc w:val="both"/>
        <w:rPr>
          <w:rFonts w:ascii="Times New Roman" w:eastAsia="Times New Roman" w:hAnsi="Times New Roman" w:cs="Times New Roman"/>
          <w:bCs/>
          <w:sz w:val="28"/>
          <w:szCs w:val="28"/>
          <w:lang w:eastAsia="ru-RU"/>
        </w:rPr>
      </w:pPr>
      <w:r w:rsidRPr="00C36631">
        <w:rPr>
          <w:rFonts w:ascii="Times New Roman" w:eastAsia="Times New Roman" w:hAnsi="Times New Roman" w:cs="Times New Roman"/>
          <w:sz w:val="28"/>
          <w:szCs w:val="28"/>
          <w:lang w:eastAsia="ru-RU"/>
        </w:rPr>
        <w:t>Т</w:t>
      </w:r>
      <w:r w:rsidRPr="00117327">
        <w:rPr>
          <w:rFonts w:ascii="Times New Roman" w:eastAsia="Times New Roman" w:hAnsi="Times New Roman" w:cs="Times New Roman"/>
          <w:bCs/>
          <w:sz w:val="28"/>
          <w:szCs w:val="28"/>
          <w:lang w:eastAsia="ru-RU"/>
        </w:rPr>
        <w:t>аблица 6 -  Расчет налогового вычета на прибыль для частных инвесторов (разработано автором)</w:t>
      </w:r>
    </w:p>
    <w:tbl>
      <w:tblPr>
        <w:tblStyle w:val="2"/>
        <w:tblW w:w="5000" w:type="pct"/>
        <w:tblLook w:val="04A0" w:firstRow="1" w:lastRow="0" w:firstColumn="1" w:lastColumn="0" w:noHBand="0" w:noVBand="1"/>
      </w:tblPr>
      <w:tblGrid>
        <w:gridCol w:w="4672"/>
        <w:gridCol w:w="4672"/>
      </w:tblGrid>
      <w:tr w:rsidR="001B6DE2" w:rsidRPr="00C36631" w:rsidTr="00CF73CA">
        <w:tc>
          <w:tcPr>
            <w:tcW w:w="2500" w:type="pct"/>
          </w:tcPr>
          <w:p w:rsidR="001B6DE2" w:rsidRPr="00C36631" w:rsidRDefault="001B6DE2" w:rsidP="00CF73CA">
            <w:pPr>
              <w:contextualSpacing/>
              <w:jc w:val="center"/>
              <w:rPr>
                <w:sz w:val="28"/>
                <w:szCs w:val="28"/>
              </w:rPr>
            </w:pPr>
            <w:r w:rsidRPr="00C36631">
              <w:rPr>
                <w:sz w:val="28"/>
                <w:szCs w:val="28"/>
              </w:rPr>
              <w:t>Сумма инвестиций в НИОКР</w:t>
            </w:r>
          </w:p>
          <w:p w:rsidR="001B6DE2" w:rsidRPr="00C36631" w:rsidRDefault="001B6DE2" w:rsidP="00CF73CA">
            <w:pPr>
              <w:contextualSpacing/>
              <w:jc w:val="center"/>
              <w:rPr>
                <w:sz w:val="28"/>
                <w:szCs w:val="28"/>
              </w:rPr>
            </w:pPr>
            <w:r w:rsidRPr="00C36631">
              <w:rPr>
                <w:sz w:val="28"/>
                <w:szCs w:val="28"/>
              </w:rPr>
              <w:t>(млн руб.)</w:t>
            </w:r>
          </w:p>
        </w:tc>
        <w:tc>
          <w:tcPr>
            <w:tcW w:w="2500" w:type="pct"/>
          </w:tcPr>
          <w:p w:rsidR="001B6DE2" w:rsidRPr="00C36631" w:rsidRDefault="001B6DE2" w:rsidP="00CF73CA">
            <w:pPr>
              <w:contextualSpacing/>
              <w:jc w:val="center"/>
              <w:rPr>
                <w:sz w:val="28"/>
                <w:szCs w:val="28"/>
              </w:rPr>
            </w:pPr>
            <w:r w:rsidRPr="00C36631">
              <w:rPr>
                <w:sz w:val="28"/>
                <w:szCs w:val="28"/>
              </w:rPr>
              <w:t>Ставка вычета (%)</w:t>
            </w:r>
          </w:p>
        </w:tc>
      </w:tr>
      <w:tr w:rsidR="001B6DE2" w:rsidRPr="00C36631" w:rsidTr="00CF73CA">
        <w:tc>
          <w:tcPr>
            <w:tcW w:w="2500" w:type="pct"/>
          </w:tcPr>
          <w:p w:rsidR="001B6DE2" w:rsidRPr="00C36631" w:rsidRDefault="001B6DE2" w:rsidP="00CF73CA">
            <w:pPr>
              <w:spacing w:line="360" w:lineRule="auto"/>
              <w:contextualSpacing/>
              <w:jc w:val="both"/>
              <w:rPr>
                <w:sz w:val="28"/>
                <w:szCs w:val="28"/>
              </w:rPr>
            </w:pPr>
            <w:r w:rsidRPr="00C36631">
              <w:rPr>
                <w:sz w:val="28"/>
                <w:szCs w:val="28"/>
              </w:rPr>
              <w:t>до 5</w:t>
            </w:r>
          </w:p>
        </w:tc>
        <w:tc>
          <w:tcPr>
            <w:tcW w:w="2500" w:type="pct"/>
          </w:tcPr>
          <w:p w:rsidR="001B6DE2" w:rsidRPr="00C36631" w:rsidRDefault="001B6DE2" w:rsidP="00CF73CA">
            <w:pPr>
              <w:spacing w:line="360" w:lineRule="auto"/>
              <w:contextualSpacing/>
              <w:jc w:val="both"/>
              <w:rPr>
                <w:sz w:val="28"/>
                <w:szCs w:val="28"/>
              </w:rPr>
            </w:pPr>
            <w:r w:rsidRPr="00C36631">
              <w:rPr>
                <w:sz w:val="28"/>
                <w:szCs w:val="28"/>
              </w:rPr>
              <w:t>5</w:t>
            </w:r>
          </w:p>
        </w:tc>
      </w:tr>
      <w:tr w:rsidR="001B6DE2" w:rsidRPr="00C36631" w:rsidTr="00CF73CA">
        <w:tc>
          <w:tcPr>
            <w:tcW w:w="2500" w:type="pct"/>
          </w:tcPr>
          <w:p w:rsidR="001B6DE2" w:rsidRPr="00C36631" w:rsidRDefault="001B6DE2" w:rsidP="00CF73CA">
            <w:pPr>
              <w:spacing w:line="360" w:lineRule="auto"/>
              <w:contextualSpacing/>
              <w:jc w:val="both"/>
              <w:rPr>
                <w:sz w:val="28"/>
                <w:szCs w:val="28"/>
              </w:rPr>
            </w:pPr>
            <w:r w:rsidRPr="00C36631">
              <w:rPr>
                <w:sz w:val="28"/>
                <w:szCs w:val="28"/>
              </w:rPr>
              <w:t>до 20</w:t>
            </w:r>
          </w:p>
        </w:tc>
        <w:tc>
          <w:tcPr>
            <w:tcW w:w="2500" w:type="pct"/>
          </w:tcPr>
          <w:p w:rsidR="001B6DE2" w:rsidRPr="00C36631" w:rsidRDefault="001B6DE2" w:rsidP="00CF73CA">
            <w:pPr>
              <w:spacing w:line="360" w:lineRule="auto"/>
              <w:contextualSpacing/>
              <w:jc w:val="both"/>
              <w:rPr>
                <w:sz w:val="28"/>
                <w:szCs w:val="28"/>
              </w:rPr>
            </w:pPr>
            <w:r w:rsidRPr="00C36631">
              <w:rPr>
                <w:sz w:val="28"/>
                <w:szCs w:val="28"/>
              </w:rPr>
              <w:t>7</w:t>
            </w:r>
          </w:p>
        </w:tc>
      </w:tr>
      <w:tr w:rsidR="001B6DE2" w:rsidRPr="00C36631" w:rsidTr="00CF73CA">
        <w:tc>
          <w:tcPr>
            <w:tcW w:w="2500" w:type="pct"/>
          </w:tcPr>
          <w:p w:rsidR="001B6DE2" w:rsidRPr="00C36631" w:rsidRDefault="001B6DE2" w:rsidP="00CF73CA">
            <w:pPr>
              <w:spacing w:line="360" w:lineRule="auto"/>
              <w:contextualSpacing/>
              <w:jc w:val="both"/>
              <w:rPr>
                <w:sz w:val="28"/>
                <w:szCs w:val="28"/>
              </w:rPr>
            </w:pPr>
            <w:r w:rsidRPr="00C36631">
              <w:rPr>
                <w:sz w:val="28"/>
                <w:szCs w:val="28"/>
              </w:rPr>
              <w:t>до 50</w:t>
            </w:r>
          </w:p>
        </w:tc>
        <w:tc>
          <w:tcPr>
            <w:tcW w:w="2500" w:type="pct"/>
          </w:tcPr>
          <w:p w:rsidR="001B6DE2" w:rsidRPr="00C36631" w:rsidRDefault="001B6DE2" w:rsidP="00CF73CA">
            <w:pPr>
              <w:spacing w:line="360" w:lineRule="auto"/>
              <w:contextualSpacing/>
              <w:jc w:val="both"/>
              <w:rPr>
                <w:sz w:val="28"/>
                <w:szCs w:val="28"/>
              </w:rPr>
            </w:pPr>
            <w:r w:rsidRPr="00C36631">
              <w:rPr>
                <w:sz w:val="28"/>
                <w:szCs w:val="28"/>
              </w:rPr>
              <w:t>10</w:t>
            </w:r>
          </w:p>
        </w:tc>
      </w:tr>
    </w:tbl>
    <w:p w:rsidR="001B6DE2" w:rsidRPr="00C36631" w:rsidRDefault="001B6DE2" w:rsidP="001B6DE2">
      <w:pPr>
        <w:spacing w:after="0" w:line="360" w:lineRule="auto"/>
        <w:contextualSpacing/>
        <w:jc w:val="both"/>
        <w:rPr>
          <w:rFonts w:ascii="Times New Roman" w:eastAsia="Times New Roman" w:hAnsi="Times New Roman" w:cs="Times New Roman"/>
          <w:sz w:val="28"/>
          <w:szCs w:val="28"/>
          <w:lang w:eastAsia="ru-RU"/>
        </w:rPr>
      </w:pP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Выбор данной структуры обусловлен необходимостью создания более привлекательных условий для инвесторов и учета различий в масштабах проектов. Низкие ставки для малых инвестиций позволяют обеспечить доступность налоговых льгот для большего числа предприятий, тогда как более высокие ставки для крупных инвестиций стимулируют значительные вложения в НИОКР, что особенно важно для реализации крупных инновационных проектов.</w:t>
      </w: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 xml:space="preserve">Для получения налогового вычета инвесторы должны соответствовать определенным критериям. Во-первых, минимальная сумма инвестиций должна составлять не менее 1 миллиона рублей. Это минимальное пороговое значение гарантирует, что инвестиции достаточно значительны для поддержки значимых инновационных проектов. Во-вторых, проект должен быть зарегистрирован в реестре инновационных проектов Министерства экономического развития. Регистрация обеспечивает официальный статус проекта и подтверждает его соответствие установленным критериям </w:t>
      </w:r>
      <w:r w:rsidRPr="00C36631">
        <w:rPr>
          <w:rFonts w:ascii="Times New Roman" w:eastAsia="Times New Roman" w:hAnsi="Times New Roman" w:cs="Times New Roman"/>
          <w:sz w:val="28"/>
          <w:szCs w:val="28"/>
          <w:lang w:eastAsia="ru-RU"/>
        </w:rPr>
        <w:lastRenderedPageBreak/>
        <w:t>инновационности. В-третьих, инвестор должен предоставить отчет о результатах НИОКР и подтверждение использования средств по назначению. Отчет должен включать подробное описание проведенных работ, достигнутые результаты, а также финансовый отчет, подтверждающий целевое использование средств.</w:t>
      </w: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Ожидается, что введение налогового вычета на НИОКР окажет положительное влияние на развитие инновационной деятельности в России. Основные ожидаемые результаты и выгоды включают увеличение объема инвестиций в НИОКР, снижение налоговой нагрузки на инновационные предприятия, повышение конкурентоспособности российских компаний и ускорение научно-технического прогресса. Стимулирование внешних частных инвесторов, включая компании и физических лиц, к вложению средств в НИОКР приведет к увеличению общего объема инвестиций в инновационные проекты.</w:t>
      </w: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Снижение налоговой нагрузки позволит предприятиям высвободить дополнительные ресурсы, которые могут быть направлены на дальнейшие исследования и разработки, расширение производственных мощностей и внедрение новых технологий. Улучшение условий для инвестиций в НИОКР будет способствовать созданию высокотехнологичных продуктов и услуг, которые смогут успешно конкурировать на международных рынках. Увеличение инвестиций в НИОКР приведет к более быстрому развитию новых технологий и инновационных решений, что ускорит научно-технический прогресс и улучшит качество жизни населения.</w:t>
      </w: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Предположим, что введение налогового вычета приведет к ежегодному приросту инвестиций в НИОКР на 3%. Тогда график прироста инвестиций за период с 2020 по 2027 годы может выглядеть следующим образом</w:t>
      </w:r>
      <w:r>
        <w:rPr>
          <w:rFonts w:ascii="Times New Roman" w:eastAsia="Times New Roman" w:hAnsi="Times New Roman" w:cs="Times New Roman"/>
          <w:sz w:val="28"/>
          <w:szCs w:val="28"/>
          <w:lang w:eastAsia="ru-RU"/>
        </w:rPr>
        <w:t xml:space="preserve"> (рисунок </w:t>
      </w:r>
      <w:r w:rsidRPr="00C36631">
        <w:rPr>
          <w:rFonts w:ascii="Times New Roman" w:eastAsia="Times New Roman" w:hAnsi="Times New Roman" w:cs="Times New Roman"/>
          <w:sz w:val="28"/>
          <w:szCs w:val="28"/>
          <w:lang w:eastAsia="ru-RU"/>
        </w:rPr>
        <w:t xml:space="preserve">12). </w:t>
      </w:r>
    </w:p>
    <w:p w:rsidR="001B6DE2" w:rsidRPr="00C36631" w:rsidRDefault="001B6DE2" w:rsidP="001B6DE2">
      <w:pPr>
        <w:spacing w:after="0" w:line="360" w:lineRule="auto"/>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noProof/>
          <w:sz w:val="28"/>
          <w:szCs w:val="28"/>
          <w:lang w:eastAsia="ru-RU"/>
        </w:rPr>
        <w:lastRenderedPageBreak/>
        <w:drawing>
          <wp:inline distT="0" distB="0" distL="0" distR="0" wp14:anchorId="268FE6C5" wp14:editId="7994ECA7">
            <wp:extent cx="5944356" cy="27908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59871" cy="2798109"/>
                    </a:xfrm>
                    <a:prstGeom prst="rect">
                      <a:avLst/>
                    </a:prstGeom>
                  </pic:spPr>
                </pic:pic>
              </a:graphicData>
            </a:graphic>
          </wp:inline>
        </w:drawing>
      </w:r>
    </w:p>
    <w:p w:rsidR="001B6DE2" w:rsidRPr="00C36631" w:rsidRDefault="001B6DE2" w:rsidP="001B6DE2">
      <w:pPr>
        <w:spacing w:after="0" w:line="240" w:lineRule="auto"/>
        <w:ind w:firstLine="709"/>
        <w:contextualSpacing/>
        <w:jc w:val="center"/>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Рисунок 12 - Прирост инвестиций в НИОКР (2020-2027 гг.)</w:t>
      </w:r>
      <w:r>
        <w:rPr>
          <w:rFonts w:ascii="Times New Roman" w:eastAsia="Times New Roman" w:hAnsi="Times New Roman" w:cs="Times New Roman"/>
          <w:sz w:val="28"/>
          <w:szCs w:val="28"/>
          <w:lang w:eastAsia="ru-RU"/>
        </w:rPr>
        <w:t xml:space="preserve"> </w:t>
      </w:r>
      <w:r w:rsidRPr="00117327">
        <w:rPr>
          <w:rFonts w:ascii="Times New Roman" w:eastAsia="Times New Roman" w:hAnsi="Times New Roman" w:cs="Times New Roman"/>
          <w:sz w:val="28"/>
          <w:szCs w:val="28"/>
          <w:lang w:eastAsia="ru-RU"/>
        </w:rPr>
        <w:t>(разработано автором)</w:t>
      </w: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Этот график показывает предполагаемый прирост инвестиций в НИОКР в результате введения налогового вычета. Видно, что инвестиции увеличиваются с 950 миллиарда рублей в 2020 году до 2400 миллиардов рублей в 2027 году.</w:t>
      </w: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 xml:space="preserve">Для обеспечения эффективности налогового вычета необходимо также принять дополнительные меры. Во-первых, важна информационная поддержка. Организация информационных кампаний для ознакомления компаний и частных лиц с новыми возможностями налогового вычета и процедурами его получения поможет увеличить осведомленность и использование налоговых вычетов. Во-вторых, необходимо сотрудничество с научными и образовательными учреждениями. Установление партнерских отношений с университетами и научно-исследовательскими институтами для совместного проведения НИОКР и обмена опытом поможет улучшить качество исследований и увеличить количество инновационных проектов. В-третьих, важно ввести систему мониторинга и оценки эффективности налоговых вычетов. Это позволит отслеживать результаты и вносить необходимые корректировки для повышения эффективности программы. Введение системы мониторинга обеспечит прозрачность и подотчетность </w:t>
      </w:r>
      <w:r w:rsidRPr="00C36631">
        <w:rPr>
          <w:rFonts w:ascii="Times New Roman" w:eastAsia="Times New Roman" w:hAnsi="Times New Roman" w:cs="Times New Roman"/>
          <w:sz w:val="28"/>
          <w:szCs w:val="28"/>
          <w:lang w:eastAsia="ru-RU"/>
        </w:rPr>
        <w:lastRenderedPageBreak/>
        <w:t>использования налоговых вычетов, что повысит доверие со стороны инвесторов и государственных органов.</w:t>
      </w: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Эта мера позволит снизить налоговую нагрузку на компании и частных лиц, увеличить объем инвестиций в НИОКР и способствовать развитию новых технологий. Конкретные предложения включают установление минимальной суммы инвестиций, регистрацию проекта в реестре инновационных проектов и предоставление отчетности о результатах НИОКР. Ожидаемые результаты включают увеличение объема инвестиций, снижение налоговой нагрузки, повышение конкурентоспособности российских компаний и ускорение научно-технического прогресса.</w:t>
      </w: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Еще одним предложением по совершенствованию системы налогового стимулирования инновационного бизнеса является внедрение дополнительных налоговых льгот для малых и средних предприятий (МСП), занимающихся НИОКР. Это поможет стимулировать инновационную активность среди МСП, которые часто сталкиваются с недостатком финансовых ресурсов и сложностями в получении существующих налоговых льгот. Увеличение налоговых льгот будет способствовать развитию новых технологий и повышению конкурентоспособности российских МСП.</w:t>
      </w: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Основным критерием для получения дополнительных налоговых льгот будет статус инновационного предприятия. МСП должны иметь официальный статус инновационного предприятия, который подтверждается специальным сертификатом. Этот сертификат будет выдаваться на основе оценки инновационной деятельности предприятия, включая анализ реализованных и текущих проектов, а также их научно-технической значимости.</w:t>
      </w: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 xml:space="preserve">Дополнительно предлагается, чтобы объем инвестиций в НИОКР должен составлять не менее 10% от общего объема затрат предприятия. Это будет гарантировать, что предприятия, получающие налоговые льготы, активно инвестируют в инновационную деятельность и развивают новые технологии. Предприятия должны будут предоставить план и отчет о реализации НИОКР, а также результаты независимого аудита. Эти документы </w:t>
      </w:r>
      <w:r w:rsidRPr="00C36631">
        <w:rPr>
          <w:rFonts w:ascii="Times New Roman" w:eastAsia="Times New Roman" w:hAnsi="Times New Roman" w:cs="Times New Roman"/>
          <w:sz w:val="28"/>
          <w:szCs w:val="28"/>
          <w:lang w:eastAsia="ru-RU"/>
        </w:rPr>
        <w:lastRenderedPageBreak/>
        <w:t>будут подтверждать целевое использование средств и достигнутые результаты.</w:t>
      </w:r>
    </w:p>
    <w:p w:rsidR="001B6DE2" w:rsidRPr="00535E7D"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 xml:space="preserve">Предлагаемые налоговые льготы включают снижение ставки налога на прибыль до 10% при общей системе налогооблажения и освобождение от налога на имущество, используемое в НИОКР. Это позволит значительно снизить налоговую нагрузку на МСП, что высвободит дополнительные ресурсы для инвестиций в НИОКР и развитие инновационных проектов. Снижение ставки налога на прибыль будет пропорционально объему инвестиций в НИОКР. При этом стоит учитывать упрощенные системы налогообложения: УСН (доходы - расходы) и УСН (доходы - расходы). </w:t>
      </w:r>
    </w:p>
    <w:p w:rsidR="001B6DE2" w:rsidRPr="00535E7D"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p>
    <w:p w:rsidR="001B6DE2" w:rsidRPr="00FE0DBA" w:rsidRDefault="001B6DE2" w:rsidP="001B6DE2">
      <w:pPr>
        <w:spacing w:after="0" w:line="240" w:lineRule="auto"/>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Таблица 7 - Расчет налоговой ставки на прибыль для МСП при различных системах налогообложения (разработано автором)</w:t>
      </w:r>
    </w:p>
    <w:tbl>
      <w:tblPr>
        <w:tblStyle w:val="3"/>
        <w:tblW w:w="8896" w:type="dxa"/>
        <w:tblLook w:val="04A0" w:firstRow="1" w:lastRow="0" w:firstColumn="1" w:lastColumn="0" w:noHBand="0" w:noVBand="1"/>
      </w:tblPr>
      <w:tblGrid>
        <w:gridCol w:w="2518"/>
        <w:gridCol w:w="2126"/>
        <w:gridCol w:w="2126"/>
        <w:gridCol w:w="2126"/>
      </w:tblGrid>
      <w:tr w:rsidR="001B6DE2" w:rsidRPr="00A06FD8" w:rsidTr="00CF73CA">
        <w:tc>
          <w:tcPr>
            <w:tcW w:w="2518" w:type="dxa"/>
          </w:tcPr>
          <w:p w:rsidR="001B6DE2" w:rsidRPr="00A06FD8" w:rsidRDefault="001B6DE2" w:rsidP="00CF73CA">
            <w:pPr>
              <w:contextualSpacing/>
              <w:jc w:val="center"/>
              <w:rPr>
                <w:sz w:val="28"/>
                <w:szCs w:val="28"/>
              </w:rPr>
            </w:pPr>
            <w:r w:rsidRPr="00A06FD8">
              <w:rPr>
                <w:sz w:val="28"/>
                <w:szCs w:val="28"/>
              </w:rPr>
              <w:t>Объем инвестиций в НИОКР</w:t>
            </w:r>
          </w:p>
          <w:p w:rsidR="001B6DE2" w:rsidRPr="00A06FD8" w:rsidRDefault="001B6DE2" w:rsidP="00CF73CA">
            <w:pPr>
              <w:contextualSpacing/>
              <w:jc w:val="center"/>
              <w:rPr>
                <w:sz w:val="28"/>
                <w:szCs w:val="28"/>
              </w:rPr>
            </w:pPr>
            <w:r w:rsidRPr="00A06FD8">
              <w:rPr>
                <w:sz w:val="28"/>
                <w:szCs w:val="28"/>
              </w:rPr>
              <w:t>(% от общего объема затрат)</w:t>
            </w:r>
          </w:p>
        </w:tc>
        <w:tc>
          <w:tcPr>
            <w:tcW w:w="2126" w:type="dxa"/>
          </w:tcPr>
          <w:p w:rsidR="001B6DE2" w:rsidRPr="00A06FD8" w:rsidRDefault="001B6DE2" w:rsidP="00CF73CA">
            <w:pPr>
              <w:contextualSpacing/>
              <w:jc w:val="center"/>
              <w:rPr>
                <w:sz w:val="28"/>
                <w:szCs w:val="28"/>
              </w:rPr>
            </w:pPr>
            <w:r w:rsidRPr="00A06FD8">
              <w:rPr>
                <w:sz w:val="28"/>
                <w:szCs w:val="28"/>
              </w:rPr>
              <w:t>Ставка налога на прибыль (%)</w:t>
            </w:r>
          </w:p>
          <w:p w:rsidR="001B6DE2" w:rsidRPr="00A06FD8" w:rsidRDefault="001B6DE2" w:rsidP="00CF73CA">
            <w:pPr>
              <w:contextualSpacing/>
              <w:jc w:val="center"/>
              <w:rPr>
                <w:sz w:val="28"/>
                <w:szCs w:val="28"/>
              </w:rPr>
            </w:pPr>
            <w:r w:rsidRPr="00A06FD8">
              <w:rPr>
                <w:sz w:val="28"/>
                <w:szCs w:val="28"/>
              </w:rPr>
              <w:t>при ОСН</w:t>
            </w:r>
          </w:p>
        </w:tc>
        <w:tc>
          <w:tcPr>
            <w:tcW w:w="2126" w:type="dxa"/>
          </w:tcPr>
          <w:p w:rsidR="001B6DE2" w:rsidRPr="00A06FD8" w:rsidRDefault="001B6DE2" w:rsidP="00CF73CA">
            <w:pPr>
              <w:contextualSpacing/>
              <w:jc w:val="center"/>
              <w:rPr>
                <w:sz w:val="28"/>
                <w:szCs w:val="28"/>
              </w:rPr>
            </w:pPr>
            <w:r w:rsidRPr="00A06FD8">
              <w:rPr>
                <w:sz w:val="28"/>
                <w:szCs w:val="28"/>
              </w:rPr>
              <w:t>Ставка налога на прибыль (%)</w:t>
            </w:r>
          </w:p>
          <w:p w:rsidR="001B6DE2" w:rsidRPr="00A06FD8" w:rsidRDefault="001B6DE2" w:rsidP="00CF73CA">
            <w:pPr>
              <w:contextualSpacing/>
              <w:jc w:val="center"/>
              <w:rPr>
                <w:sz w:val="28"/>
                <w:szCs w:val="28"/>
              </w:rPr>
            </w:pPr>
            <w:r w:rsidRPr="00A06FD8">
              <w:rPr>
                <w:sz w:val="28"/>
                <w:szCs w:val="28"/>
              </w:rPr>
              <w:t>при УСН (доходы - расходы)</w:t>
            </w:r>
          </w:p>
        </w:tc>
        <w:tc>
          <w:tcPr>
            <w:tcW w:w="2126" w:type="dxa"/>
          </w:tcPr>
          <w:p w:rsidR="001B6DE2" w:rsidRPr="00A06FD8" w:rsidRDefault="001B6DE2" w:rsidP="00CF73CA">
            <w:pPr>
              <w:contextualSpacing/>
              <w:jc w:val="center"/>
              <w:rPr>
                <w:sz w:val="28"/>
                <w:szCs w:val="28"/>
              </w:rPr>
            </w:pPr>
            <w:r w:rsidRPr="00A06FD8">
              <w:rPr>
                <w:sz w:val="28"/>
                <w:szCs w:val="28"/>
              </w:rPr>
              <w:t>Ставка налога на прибыль (%)</w:t>
            </w:r>
          </w:p>
          <w:p w:rsidR="001B6DE2" w:rsidRPr="00A06FD8" w:rsidRDefault="001B6DE2" w:rsidP="00CF73CA">
            <w:pPr>
              <w:contextualSpacing/>
              <w:jc w:val="center"/>
              <w:rPr>
                <w:sz w:val="28"/>
                <w:szCs w:val="28"/>
              </w:rPr>
            </w:pPr>
            <w:r w:rsidRPr="00A06FD8">
              <w:rPr>
                <w:sz w:val="28"/>
                <w:szCs w:val="28"/>
              </w:rPr>
              <w:t>при УСН (доходы)</w:t>
            </w:r>
          </w:p>
        </w:tc>
      </w:tr>
      <w:tr w:rsidR="001B6DE2" w:rsidRPr="00A06FD8" w:rsidTr="00CF73CA">
        <w:tc>
          <w:tcPr>
            <w:tcW w:w="2518" w:type="dxa"/>
          </w:tcPr>
          <w:p w:rsidR="001B6DE2" w:rsidRPr="00A06FD8" w:rsidRDefault="001B6DE2" w:rsidP="00CF73CA">
            <w:pPr>
              <w:contextualSpacing/>
              <w:jc w:val="center"/>
              <w:rPr>
                <w:sz w:val="28"/>
                <w:szCs w:val="28"/>
              </w:rPr>
            </w:pPr>
            <w:r w:rsidRPr="00A06FD8">
              <w:rPr>
                <w:sz w:val="28"/>
                <w:szCs w:val="28"/>
              </w:rPr>
              <w:t>10%</w:t>
            </w:r>
          </w:p>
        </w:tc>
        <w:tc>
          <w:tcPr>
            <w:tcW w:w="2126" w:type="dxa"/>
          </w:tcPr>
          <w:p w:rsidR="001B6DE2" w:rsidRPr="00A06FD8" w:rsidRDefault="001B6DE2" w:rsidP="00CF73CA">
            <w:pPr>
              <w:contextualSpacing/>
              <w:jc w:val="center"/>
              <w:rPr>
                <w:sz w:val="28"/>
                <w:szCs w:val="28"/>
              </w:rPr>
            </w:pPr>
            <w:r w:rsidRPr="00A06FD8">
              <w:rPr>
                <w:sz w:val="28"/>
                <w:szCs w:val="28"/>
              </w:rPr>
              <w:t>15</w:t>
            </w:r>
            <w:r>
              <w:rPr>
                <w:sz w:val="28"/>
                <w:szCs w:val="28"/>
              </w:rPr>
              <w:t xml:space="preserve"> </w:t>
            </w:r>
            <w:r w:rsidRPr="00A06FD8">
              <w:rPr>
                <w:sz w:val="28"/>
                <w:szCs w:val="28"/>
              </w:rPr>
              <w:t>%</w:t>
            </w:r>
          </w:p>
        </w:tc>
        <w:tc>
          <w:tcPr>
            <w:tcW w:w="2126" w:type="dxa"/>
          </w:tcPr>
          <w:p w:rsidR="001B6DE2" w:rsidRPr="00A06FD8" w:rsidRDefault="001B6DE2" w:rsidP="00CF73CA">
            <w:pPr>
              <w:contextualSpacing/>
              <w:jc w:val="center"/>
              <w:rPr>
                <w:sz w:val="28"/>
                <w:szCs w:val="28"/>
              </w:rPr>
            </w:pPr>
            <w:r>
              <w:rPr>
                <w:sz w:val="28"/>
                <w:szCs w:val="28"/>
              </w:rPr>
              <w:t xml:space="preserve">11,25 </w:t>
            </w:r>
            <w:r w:rsidRPr="00A06FD8">
              <w:rPr>
                <w:sz w:val="28"/>
                <w:szCs w:val="28"/>
              </w:rPr>
              <w:t>%</w:t>
            </w:r>
          </w:p>
        </w:tc>
        <w:tc>
          <w:tcPr>
            <w:tcW w:w="2126" w:type="dxa"/>
          </w:tcPr>
          <w:p w:rsidR="001B6DE2" w:rsidRPr="00A06FD8" w:rsidRDefault="001B6DE2" w:rsidP="00CF73CA">
            <w:pPr>
              <w:contextualSpacing/>
              <w:jc w:val="center"/>
              <w:rPr>
                <w:sz w:val="28"/>
                <w:szCs w:val="28"/>
              </w:rPr>
            </w:pPr>
            <w:r>
              <w:rPr>
                <w:sz w:val="28"/>
                <w:szCs w:val="28"/>
              </w:rPr>
              <w:t xml:space="preserve">4,5 </w:t>
            </w:r>
            <w:r w:rsidRPr="00A06FD8">
              <w:rPr>
                <w:sz w:val="28"/>
                <w:szCs w:val="28"/>
              </w:rPr>
              <w:t>%</w:t>
            </w:r>
          </w:p>
        </w:tc>
      </w:tr>
      <w:tr w:rsidR="001B6DE2" w:rsidRPr="00A06FD8" w:rsidTr="00CF73CA">
        <w:tc>
          <w:tcPr>
            <w:tcW w:w="2518" w:type="dxa"/>
          </w:tcPr>
          <w:p w:rsidR="001B6DE2" w:rsidRPr="00A06FD8" w:rsidRDefault="001B6DE2" w:rsidP="00CF73CA">
            <w:pPr>
              <w:contextualSpacing/>
              <w:jc w:val="center"/>
              <w:rPr>
                <w:sz w:val="28"/>
                <w:szCs w:val="28"/>
              </w:rPr>
            </w:pPr>
            <w:r w:rsidRPr="00A06FD8">
              <w:rPr>
                <w:sz w:val="28"/>
                <w:szCs w:val="28"/>
              </w:rPr>
              <w:t>20%</w:t>
            </w:r>
          </w:p>
        </w:tc>
        <w:tc>
          <w:tcPr>
            <w:tcW w:w="2126" w:type="dxa"/>
          </w:tcPr>
          <w:p w:rsidR="001B6DE2" w:rsidRPr="00A06FD8" w:rsidRDefault="001B6DE2" w:rsidP="00CF73CA">
            <w:pPr>
              <w:contextualSpacing/>
              <w:jc w:val="center"/>
              <w:rPr>
                <w:sz w:val="28"/>
                <w:szCs w:val="28"/>
              </w:rPr>
            </w:pPr>
            <w:r w:rsidRPr="00A06FD8">
              <w:rPr>
                <w:sz w:val="28"/>
                <w:szCs w:val="28"/>
              </w:rPr>
              <w:t>12</w:t>
            </w:r>
            <w:r>
              <w:rPr>
                <w:sz w:val="28"/>
                <w:szCs w:val="28"/>
              </w:rPr>
              <w:t xml:space="preserve"> </w:t>
            </w:r>
            <w:r w:rsidRPr="00A06FD8">
              <w:rPr>
                <w:sz w:val="28"/>
                <w:szCs w:val="28"/>
              </w:rPr>
              <w:t>%</w:t>
            </w:r>
          </w:p>
        </w:tc>
        <w:tc>
          <w:tcPr>
            <w:tcW w:w="2126" w:type="dxa"/>
          </w:tcPr>
          <w:p w:rsidR="001B6DE2" w:rsidRPr="00A06FD8" w:rsidRDefault="001B6DE2" w:rsidP="00CF73CA">
            <w:pPr>
              <w:contextualSpacing/>
              <w:jc w:val="center"/>
              <w:rPr>
                <w:sz w:val="28"/>
                <w:szCs w:val="28"/>
              </w:rPr>
            </w:pPr>
            <w:r>
              <w:rPr>
                <w:sz w:val="28"/>
                <w:szCs w:val="28"/>
              </w:rPr>
              <w:t xml:space="preserve">9 </w:t>
            </w:r>
            <w:r w:rsidRPr="00A06FD8">
              <w:rPr>
                <w:sz w:val="28"/>
                <w:szCs w:val="28"/>
              </w:rPr>
              <w:t>%</w:t>
            </w:r>
          </w:p>
        </w:tc>
        <w:tc>
          <w:tcPr>
            <w:tcW w:w="2126" w:type="dxa"/>
          </w:tcPr>
          <w:p w:rsidR="001B6DE2" w:rsidRPr="00A06FD8" w:rsidRDefault="001B6DE2" w:rsidP="00CF73CA">
            <w:pPr>
              <w:contextualSpacing/>
              <w:jc w:val="center"/>
              <w:rPr>
                <w:sz w:val="28"/>
                <w:szCs w:val="28"/>
              </w:rPr>
            </w:pPr>
            <w:r>
              <w:rPr>
                <w:sz w:val="28"/>
                <w:szCs w:val="28"/>
              </w:rPr>
              <w:t xml:space="preserve">3,6 </w:t>
            </w:r>
            <w:r w:rsidRPr="00A06FD8">
              <w:rPr>
                <w:sz w:val="28"/>
                <w:szCs w:val="28"/>
              </w:rPr>
              <w:t>%</w:t>
            </w:r>
          </w:p>
        </w:tc>
      </w:tr>
      <w:tr w:rsidR="001B6DE2" w:rsidRPr="00A06FD8" w:rsidTr="00CF73CA">
        <w:tc>
          <w:tcPr>
            <w:tcW w:w="2518" w:type="dxa"/>
          </w:tcPr>
          <w:p w:rsidR="001B6DE2" w:rsidRPr="00A06FD8" w:rsidRDefault="001B6DE2" w:rsidP="00CF73CA">
            <w:pPr>
              <w:contextualSpacing/>
              <w:jc w:val="center"/>
              <w:rPr>
                <w:sz w:val="28"/>
                <w:szCs w:val="28"/>
              </w:rPr>
            </w:pPr>
            <w:r w:rsidRPr="00A06FD8">
              <w:rPr>
                <w:sz w:val="28"/>
                <w:szCs w:val="28"/>
              </w:rPr>
              <w:t>30%</w:t>
            </w:r>
          </w:p>
        </w:tc>
        <w:tc>
          <w:tcPr>
            <w:tcW w:w="2126" w:type="dxa"/>
          </w:tcPr>
          <w:p w:rsidR="001B6DE2" w:rsidRPr="00A06FD8" w:rsidRDefault="001B6DE2" w:rsidP="00CF73CA">
            <w:pPr>
              <w:contextualSpacing/>
              <w:jc w:val="center"/>
              <w:rPr>
                <w:sz w:val="28"/>
                <w:szCs w:val="28"/>
              </w:rPr>
            </w:pPr>
            <w:r w:rsidRPr="00A06FD8">
              <w:rPr>
                <w:sz w:val="28"/>
                <w:szCs w:val="28"/>
              </w:rPr>
              <w:t>10</w:t>
            </w:r>
            <w:r>
              <w:rPr>
                <w:sz w:val="28"/>
                <w:szCs w:val="28"/>
              </w:rPr>
              <w:t xml:space="preserve"> </w:t>
            </w:r>
            <w:r w:rsidRPr="00A06FD8">
              <w:rPr>
                <w:sz w:val="28"/>
                <w:szCs w:val="28"/>
              </w:rPr>
              <w:t>%</w:t>
            </w:r>
          </w:p>
        </w:tc>
        <w:tc>
          <w:tcPr>
            <w:tcW w:w="2126" w:type="dxa"/>
          </w:tcPr>
          <w:p w:rsidR="001B6DE2" w:rsidRPr="00A06FD8" w:rsidRDefault="001B6DE2" w:rsidP="00CF73CA">
            <w:pPr>
              <w:contextualSpacing/>
              <w:jc w:val="center"/>
              <w:rPr>
                <w:sz w:val="28"/>
                <w:szCs w:val="28"/>
              </w:rPr>
            </w:pPr>
            <w:r w:rsidRPr="00A06FD8">
              <w:rPr>
                <w:sz w:val="28"/>
                <w:szCs w:val="28"/>
              </w:rPr>
              <w:t>7</w:t>
            </w:r>
            <w:r>
              <w:rPr>
                <w:sz w:val="28"/>
                <w:szCs w:val="28"/>
              </w:rPr>
              <w:t xml:space="preserve">,5 </w:t>
            </w:r>
            <w:r w:rsidRPr="00A06FD8">
              <w:rPr>
                <w:sz w:val="28"/>
                <w:szCs w:val="28"/>
              </w:rPr>
              <w:t>%</w:t>
            </w:r>
          </w:p>
        </w:tc>
        <w:tc>
          <w:tcPr>
            <w:tcW w:w="2126" w:type="dxa"/>
          </w:tcPr>
          <w:p w:rsidR="001B6DE2" w:rsidRPr="00A06FD8" w:rsidRDefault="001B6DE2" w:rsidP="00CF73CA">
            <w:pPr>
              <w:contextualSpacing/>
              <w:jc w:val="center"/>
              <w:rPr>
                <w:sz w:val="28"/>
                <w:szCs w:val="28"/>
              </w:rPr>
            </w:pPr>
            <w:r w:rsidRPr="00A06FD8">
              <w:rPr>
                <w:sz w:val="28"/>
                <w:szCs w:val="28"/>
              </w:rPr>
              <w:t>3</w:t>
            </w:r>
            <w:r>
              <w:rPr>
                <w:sz w:val="28"/>
                <w:szCs w:val="28"/>
              </w:rPr>
              <w:t xml:space="preserve"> </w:t>
            </w:r>
            <w:r w:rsidRPr="00A06FD8">
              <w:rPr>
                <w:sz w:val="28"/>
                <w:szCs w:val="28"/>
              </w:rPr>
              <w:t>%</w:t>
            </w:r>
          </w:p>
        </w:tc>
      </w:tr>
    </w:tbl>
    <w:p w:rsidR="001B6DE2" w:rsidRPr="00740CDD" w:rsidRDefault="001B6DE2" w:rsidP="001B6DE2">
      <w:pPr>
        <w:spacing w:after="0" w:line="360" w:lineRule="auto"/>
        <w:contextualSpacing/>
        <w:jc w:val="both"/>
        <w:rPr>
          <w:rFonts w:ascii="Times New Roman" w:eastAsia="Times New Roman" w:hAnsi="Times New Roman" w:cs="Times New Roman"/>
          <w:sz w:val="28"/>
          <w:szCs w:val="28"/>
          <w:lang w:eastAsia="ru-RU"/>
        </w:rPr>
      </w:pP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Ожидается, что увеличение налоговых льгот для МСП окажет положительное влияние на развитие инновационной деятельности среди малых и средних предприятий. Основные ожидаемые результаты включают увеличение объема инвестиций в НИОКР, снижение налоговой нагрузки, повышение конкурентоспособности российских МСП и ускорение научно-технического прогресса.</w:t>
      </w:r>
    </w:p>
    <w:p w:rsidR="001B6DE2" w:rsidRPr="00C36631" w:rsidRDefault="001B6DE2" w:rsidP="001B6DE2">
      <w:pPr>
        <w:spacing w:after="0" w:line="360" w:lineRule="auto"/>
        <w:ind w:firstLine="709"/>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 xml:space="preserve">Пример расчёта льгот по налогу на прибыль демонстрирует, как компании малого и среднего бизнеса (МСП) могут экономить на налогах при использовании разных систем налогообложения. Допустим, компания затрачивает 50 миллионов рублей на различные нужды своей деятельности. Из этой суммы 15 миллионов, что составляет 30%, направляются на исследования </w:t>
      </w:r>
      <w:r w:rsidRPr="00C36631">
        <w:rPr>
          <w:rFonts w:ascii="Times New Roman" w:eastAsia="Times New Roman" w:hAnsi="Times New Roman" w:cs="Times New Roman"/>
          <w:sz w:val="28"/>
          <w:szCs w:val="28"/>
          <w:lang w:eastAsia="ru-RU"/>
        </w:rPr>
        <w:lastRenderedPageBreak/>
        <w:t>и разработки в области научно-исследовательских и опытно-конструкторских работ (НИОКР). Согласно предлагаемым налоговым льготам, компания может получить значительное снижение ставки налога на прибыль. Если она использует общую систему налогообложения, то вместо стандартных процентов ей будет предложена ставка в размере всего 10%, при объеме инвестиций в 10 миллионов и упрощенной системе налогооблажения (доходы - расходы) – 9%, а при инвестициях в 5 миллионов и упрощенной системе налогообложения (доходы) до 4,5%. Экономия на налогах дает возможность перераспределить освободившиеся ресурсы для реализации и ускорения новых инновационных инициатив. Это, в свою очередь, способствует развитию компании и укреплению её позиций на рынке.</w:t>
      </w:r>
    </w:p>
    <w:p w:rsidR="001B6DE2" w:rsidRDefault="001B6DE2" w:rsidP="001B6DE2">
      <w:pPr>
        <w:spacing w:after="0" w:line="240" w:lineRule="auto"/>
        <w:ind w:left="-113"/>
        <w:contextualSpacing/>
        <w:jc w:val="both"/>
        <w:rPr>
          <w:rFonts w:ascii="Times New Roman" w:eastAsia="Times New Roman" w:hAnsi="Times New Roman" w:cs="Times New Roman"/>
          <w:sz w:val="28"/>
          <w:szCs w:val="28"/>
          <w:lang w:eastAsia="ru-RU"/>
        </w:rPr>
      </w:pPr>
    </w:p>
    <w:p w:rsidR="001B6DE2" w:rsidRPr="00C36631" w:rsidRDefault="001B6DE2" w:rsidP="001B6DE2">
      <w:pPr>
        <w:spacing w:after="0" w:line="240" w:lineRule="auto"/>
        <w:ind w:left="-113"/>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Таблица 8 - Пример расчета налоговых льгот для МСП</w:t>
      </w:r>
      <w:r>
        <w:rPr>
          <w:rFonts w:ascii="Times New Roman" w:eastAsia="Times New Roman" w:hAnsi="Times New Roman" w:cs="Times New Roman"/>
          <w:sz w:val="28"/>
          <w:szCs w:val="28"/>
          <w:lang w:eastAsia="ru-RU"/>
        </w:rPr>
        <w:t xml:space="preserve"> </w:t>
      </w:r>
      <w:r w:rsidRPr="00033D33">
        <w:rPr>
          <w:rFonts w:ascii="Times New Roman" w:eastAsia="Times New Roman" w:hAnsi="Times New Roman" w:cs="Times New Roman"/>
          <w:sz w:val="28"/>
          <w:szCs w:val="28"/>
          <w:lang w:eastAsia="ru-RU"/>
        </w:rPr>
        <w:t>(разработано автором)</w:t>
      </w:r>
    </w:p>
    <w:tbl>
      <w:tblPr>
        <w:tblStyle w:val="4"/>
        <w:tblW w:w="0" w:type="auto"/>
        <w:tblLook w:val="04A0" w:firstRow="1" w:lastRow="0" w:firstColumn="1" w:lastColumn="0" w:noHBand="0" w:noVBand="1"/>
      </w:tblPr>
      <w:tblGrid>
        <w:gridCol w:w="5070"/>
        <w:gridCol w:w="1366"/>
        <w:gridCol w:w="1454"/>
        <w:gridCol w:w="1454"/>
      </w:tblGrid>
      <w:tr w:rsidR="001B6DE2" w:rsidRPr="00C36631" w:rsidTr="00CF73CA">
        <w:tc>
          <w:tcPr>
            <w:tcW w:w="5070" w:type="dxa"/>
            <w:vMerge w:val="restart"/>
          </w:tcPr>
          <w:p w:rsidR="001B6DE2" w:rsidRPr="00C36631" w:rsidRDefault="001B6DE2" w:rsidP="00CF73CA">
            <w:pPr>
              <w:contextualSpacing/>
              <w:jc w:val="center"/>
              <w:rPr>
                <w:sz w:val="28"/>
                <w:szCs w:val="28"/>
              </w:rPr>
            </w:pPr>
          </w:p>
          <w:p w:rsidR="001B6DE2" w:rsidRPr="00C36631" w:rsidRDefault="001B6DE2" w:rsidP="00CF73CA">
            <w:pPr>
              <w:contextualSpacing/>
              <w:jc w:val="center"/>
              <w:rPr>
                <w:sz w:val="28"/>
                <w:szCs w:val="28"/>
              </w:rPr>
            </w:pPr>
            <w:r w:rsidRPr="00C36631">
              <w:rPr>
                <w:sz w:val="28"/>
                <w:szCs w:val="28"/>
              </w:rPr>
              <w:t>Показатель</w:t>
            </w:r>
          </w:p>
        </w:tc>
        <w:tc>
          <w:tcPr>
            <w:tcW w:w="4274" w:type="dxa"/>
            <w:gridSpan w:val="3"/>
          </w:tcPr>
          <w:p w:rsidR="001B6DE2" w:rsidRPr="00C36631" w:rsidRDefault="001B6DE2" w:rsidP="00CF73CA">
            <w:pPr>
              <w:contextualSpacing/>
              <w:jc w:val="center"/>
              <w:rPr>
                <w:sz w:val="28"/>
                <w:szCs w:val="28"/>
              </w:rPr>
            </w:pPr>
            <w:r w:rsidRPr="00C36631">
              <w:rPr>
                <w:sz w:val="28"/>
                <w:szCs w:val="28"/>
              </w:rPr>
              <w:t>Значение</w:t>
            </w:r>
          </w:p>
        </w:tc>
      </w:tr>
      <w:tr w:rsidR="001B6DE2" w:rsidRPr="00C36631" w:rsidTr="00CF73CA">
        <w:tc>
          <w:tcPr>
            <w:tcW w:w="5070" w:type="dxa"/>
            <w:vMerge/>
          </w:tcPr>
          <w:p w:rsidR="001B6DE2" w:rsidRPr="00C36631" w:rsidRDefault="001B6DE2" w:rsidP="00CF73CA">
            <w:pPr>
              <w:contextualSpacing/>
              <w:jc w:val="both"/>
              <w:rPr>
                <w:sz w:val="28"/>
                <w:szCs w:val="28"/>
              </w:rPr>
            </w:pPr>
          </w:p>
        </w:tc>
        <w:tc>
          <w:tcPr>
            <w:tcW w:w="1366" w:type="dxa"/>
          </w:tcPr>
          <w:p w:rsidR="001B6DE2" w:rsidRPr="00C36631" w:rsidRDefault="001B6DE2" w:rsidP="00CF73CA">
            <w:pPr>
              <w:contextualSpacing/>
              <w:jc w:val="center"/>
              <w:rPr>
                <w:sz w:val="28"/>
                <w:szCs w:val="28"/>
              </w:rPr>
            </w:pPr>
          </w:p>
          <w:p w:rsidR="001B6DE2" w:rsidRPr="00C36631" w:rsidRDefault="001B6DE2" w:rsidP="00CF73CA">
            <w:pPr>
              <w:contextualSpacing/>
              <w:jc w:val="center"/>
              <w:rPr>
                <w:sz w:val="28"/>
                <w:szCs w:val="28"/>
              </w:rPr>
            </w:pPr>
            <w:r w:rsidRPr="00C36631">
              <w:rPr>
                <w:sz w:val="28"/>
                <w:szCs w:val="28"/>
              </w:rPr>
              <w:t>ОСН</w:t>
            </w:r>
          </w:p>
        </w:tc>
        <w:tc>
          <w:tcPr>
            <w:tcW w:w="1454" w:type="dxa"/>
          </w:tcPr>
          <w:p w:rsidR="001B6DE2" w:rsidRPr="00C36631" w:rsidRDefault="001B6DE2" w:rsidP="00CF73CA">
            <w:pPr>
              <w:contextualSpacing/>
              <w:jc w:val="center"/>
              <w:rPr>
                <w:sz w:val="28"/>
                <w:szCs w:val="28"/>
              </w:rPr>
            </w:pPr>
            <w:r w:rsidRPr="00C36631">
              <w:rPr>
                <w:sz w:val="28"/>
                <w:szCs w:val="28"/>
              </w:rPr>
              <w:t>УСН (доходы - расходы)</w:t>
            </w:r>
          </w:p>
        </w:tc>
        <w:tc>
          <w:tcPr>
            <w:tcW w:w="1454" w:type="dxa"/>
          </w:tcPr>
          <w:p w:rsidR="001B6DE2" w:rsidRPr="00C36631" w:rsidRDefault="001B6DE2" w:rsidP="00CF73CA">
            <w:pPr>
              <w:contextualSpacing/>
              <w:jc w:val="center"/>
              <w:rPr>
                <w:sz w:val="28"/>
                <w:szCs w:val="28"/>
              </w:rPr>
            </w:pPr>
            <w:r w:rsidRPr="00C36631">
              <w:rPr>
                <w:sz w:val="28"/>
                <w:szCs w:val="28"/>
              </w:rPr>
              <w:t>УСН (доходы)</w:t>
            </w:r>
          </w:p>
        </w:tc>
      </w:tr>
      <w:tr w:rsidR="001B6DE2" w:rsidRPr="00C36631" w:rsidTr="00CF73CA">
        <w:tc>
          <w:tcPr>
            <w:tcW w:w="5070" w:type="dxa"/>
          </w:tcPr>
          <w:p w:rsidR="001B6DE2" w:rsidRPr="00C36631" w:rsidRDefault="001B6DE2" w:rsidP="00CF73CA">
            <w:pPr>
              <w:contextualSpacing/>
              <w:jc w:val="both"/>
              <w:rPr>
                <w:sz w:val="28"/>
                <w:szCs w:val="28"/>
              </w:rPr>
            </w:pPr>
            <w:r w:rsidRPr="00C36631">
              <w:rPr>
                <w:sz w:val="28"/>
                <w:szCs w:val="28"/>
              </w:rPr>
              <w:t>Общий объем затрат (млн руб.)</w:t>
            </w:r>
          </w:p>
        </w:tc>
        <w:tc>
          <w:tcPr>
            <w:tcW w:w="1366" w:type="dxa"/>
          </w:tcPr>
          <w:p w:rsidR="001B6DE2" w:rsidRPr="00C36631" w:rsidRDefault="001B6DE2" w:rsidP="00CF73CA">
            <w:pPr>
              <w:contextualSpacing/>
              <w:jc w:val="center"/>
              <w:rPr>
                <w:sz w:val="28"/>
                <w:szCs w:val="28"/>
              </w:rPr>
            </w:pPr>
            <w:r w:rsidRPr="00C36631">
              <w:rPr>
                <w:sz w:val="28"/>
                <w:szCs w:val="28"/>
              </w:rPr>
              <w:t>50</w:t>
            </w:r>
          </w:p>
        </w:tc>
        <w:tc>
          <w:tcPr>
            <w:tcW w:w="1454" w:type="dxa"/>
          </w:tcPr>
          <w:p w:rsidR="001B6DE2" w:rsidRPr="00C36631" w:rsidRDefault="001B6DE2" w:rsidP="00CF73CA">
            <w:pPr>
              <w:contextualSpacing/>
              <w:jc w:val="center"/>
              <w:rPr>
                <w:sz w:val="28"/>
                <w:szCs w:val="28"/>
              </w:rPr>
            </w:pPr>
            <w:r w:rsidRPr="00C36631">
              <w:rPr>
                <w:sz w:val="28"/>
                <w:szCs w:val="28"/>
              </w:rPr>
              <w:t>50</w:t>
            </w:r>
          </w:p>
        </w:tc>
        <w:tc>
          <w:tcPr>
            <w:tcW w:w="1454" w:type="dxa"/>
          </w:tcPr>
          <w:p w:rsidR="001B6DE2" w:rsidRPr="00C36631" w:rsidRDefault="001B6DE2" w:rsidP="00CF73CA">
            <w:pPr>
              <w:contextualSpacing/>
              <w:jc w:val="center"/>
              <w:rPr>
                <w:sz w:val="28"/>
                <w:szCs w:val="28"/>
              </w:rPr>
            </w:pPr>
            <w:r w:rsidRPr="00C36631">
              <w:rPr>
                <w:sz w:val="28"/>
                <w:szCs w:val="28"/>
              </w:rPr>
              <w:t>50</w:t>
            </w:r>
          </w:p>
        </w:tc>
      </w:tr>
      <w:tr w:rsidR="001B6DE2" w:rsidRPr="00C36631" w:rsidTr="00CF73CA">
        <w:tc>
          <w:tcPr>
            <w:tcW w:w="5070" w:type="dxa"/>
          </w:tcPr>
          <w:p w:rsidR="001B6DE2" w:rsidRPr="00C36631" w:rsidRDefault="001B6DE2" w:rsidP="00CF73CA">
            <w:pPr>
              <w:contextualSpacing/>
              <w:jc w:val="both"/>
              <w:rPr>
                <w:sz w:val="28"/>
                <w:szCs w:val="28"/>
              </w:rPr>
            </w:pPr>
            <w:r w:rsidRPr="00C36631">
              <w:rPr>
                <w:sz w:val="28"/>
                <w:szCs w:val="28"/>
              </w:rPr>
              <w:t>Объем инвестиций в НИОКР (млн руб.)</w:t>
            </w:r>
          </w:p>
        </w:tc>
        <w:tc>
          <w:tcPr>
            <w:tcW w:w="1366" w:type="dxa"/>
          </w:tcPr>
          <w:p w:rsidR="001B6DE2" w:rsidRPr="00C36631" w:rsidRDefault="001B6DE2" w:rsidP="00CF73CA">
            <w:pPr>
              <w:contextualSpacing/>
              <w:jc w:val="center"/>
              <w:rPr>
                <w:sz w:val="28"/>
                <w:szCs w:val="28"/>
              </w:rPr>
            </w:pPr>
            <w:r w:rsidRPr="00C36631">
              <w:rPr>
                <w:sz w:val="28"/>
                <w:szCs w:val="28"/>
              </w:rPr>
              <w:t>15</w:t>
            </w:r>
          </w:p>
        </w:tc>
        <w:tc>
          <w:tcPr>
            <w:tcW w:w="1454" w:type="dxa"/>
          </w:tcPr>
          <w:p w:rsidR="001B6DE2" w:rsidRPr="00C36631" w:rsidRDefault="001B6DE2" w:rsidP="00CF73CA">
            <w:pPr>
              <w:contextualSpacing/>
              <w:jc w:val="center"/>
              <w:rPr>
                <w:sz w:val="28"/>
                <w:szCs w:val="28"/>
              </w:rPr>
            </w:pPr>
            <w:r w:rsidRPr="00C36631">
              <w:rPr>
                <w:sz w:val="28"/>
                <w:szCs w:val="28"/>
              </w:rPr>
              <w:t>10</w:t>
            </w:r>
          </w:p>
        </w:tc>
        <w:tc>
          <w:tcPr>
            <w:tcW w:w="1454" w:type="dxa"/>
          </w:tcPr>
          <w:p w:rsidR="001B6DE2" w:rsidRPr="00C36631" w:rsidRDefault="001B6DE2" w:rsidP="00CF73CA">
            <w:pPr>
              <w:contextualSpacing/>
              <w:jc w:val="center"/>
              <w:rPr>
                <w:sz w:val="28"/>
                <w:szCs w:val="28"/>
              </w:rPr>
            </w:pPr>
            <w:r w:rsidRPr="00C36631">
              <w:rPr>
                <w:sz w:val="28"/>
                <w:szCs w:val="28"/>
              </w:rPr>
              <w:t>5</w:t>
            </w:r>
          </w:p>
        </w:tc>
      </w:tr>
      <w:tr w:rsidR="001B6DE2" w:rsidRPr="00C36631" w:rsidTr="00CF73CA">
        <w:tc>
          <w:tcPr>
            <w:tcW w:w="5070" w:type="dxa"/>
          </w:tcPr>
          <w:p w:rsidR="001B6DE2" w:rsidRPr="00C36631" w:rsidRDefault="001B6DE2" w:rsidP="00CF73CA">
            <w:pPr>
              <w:contextualSpacing/>
              <w:jc w:val="both"/>
              <w:rPr>
                <w:sz w:val="28"/>
                <w:szCs w:val="28"/>
              </w:rPr>
            </w:pPr>
            <w:r w:rsidRPr="00C36631">
              <w:rPr>
                <w:sz w:val="28"/>
                <w:szCs w:val="28"/>
              </w:rPr>
              <w:t>Доля инвестиций в НИОКР (%)</w:t>
            </w:r>
          </w:p>
        </w:tc>
        <w:tc>
          <w:tcPr>
            <w:tcW w:w="1366" w:type="dxa"/>
          </w:tcPr>
          <w:p w:rsidR="001B6DE2" w:rsidRPr="00C36631" w:rsidRDefault="001B6DE2" w:rsidP="00CF73CA">
            <w:pPr>
              <w:contextualSpacing/>
              <w:jc w:val="center"/>
              <w:rPr>
                <w:sz w:val="28"/>
                <w:szCs w:val="28"/>
              </w:rPr>
            </w:pPr>
            <w:r w:rsidRPr="00C36631">
              <w:rPr>
                <w:sz w:val="28"/>
                <w:szCs w:val="28"/>
              </w:rPr>
              <w:t>30%</w:t>
            </w:r>
          </w:p>
        </w:tc>
        <w:tc>
          <w:tcPr>
            <w:tcW w:w="1454" w:type="dxa"/>
          </w:tcPr>
          <w:p w:rsidR="001B6DE2" w:rsidRPr="00C36631" w:rsidRDefault="001B6DE2" w:rsidP="00CF73CA">
            <w:pPr>
              <w:contextualSpacing/>
              <w:jc w:val="center"/>
              <w:rPr>
                <w:sz w:val="28"/>
                <w:szCs w:val="28"/>
              </w:rPr>
            </w:pPr>
            <w:r w:rsidRPr="00C36631">
              <w:rPr>
                <w:sz w:val="28"/>
                <w:szCs w:val="28"/>
              </w:rPr>
              <w:t>20%</w:t>
            </w:r>
          </w:p>
        </w:tc>
        <w:tc>
          <w:tcPr>
            <w:tcW w:w="1454" w:type="dxa"/>
          </w:tcPr>
          <w:p w:rsidR="001B6DE2" w:rsidRPr="00C36631" w:rsidRDefault="001B6DE2" w:rsidP="00CF73CA">
            <w:pPr>
              <w:contextualSpacing/>
              <w:jc w:val="center"/>
              <w:rPr>
                <w:sz w:val="28"/>
                <w:szCs w:val="28"/>
              </w:rPr>
            </w:pPr>
            <w:r w:rsidRPr="00C36631">
              <w:rPr>
                <w:sz w:val="28"/>
                <w:szCs w:val="28"/>
              </w:rPr>
              <w:t>10%</w:t>
            </w:r>
          </w:p>
        </w:tc>
      </w:tr>
      <w:tr w:rsidR="001B6DE2" w:rsidRPr="00C36631" w:rsidTr="00CF73CA">
        <w:tc>
          <w:tcPr>
            <w:tcW w:w="5070" w:type="dxa"/>
          </w:tcPr>
          <w:p w:rsidR="001B6DE2" w:rsidRPr="00C36631" w:rsidRDefault="001B6DE2" w:rsidP="00CF73CA">
            <w:pPr>
              <w:contextualSpacing/>
              <w:jc w:val="both"/>
              <w:rPr>
                <w:sz w:val="28"/>
                <w:szCs w:val="28"/>
              </w:rPr>
            </w:pPr>
            <w:r w:rsidRPr="00C36631">
              <w:rPr>
                <w:sz w:val="28"/>
                <w:szCs w:val="28"/>
              </w:rPr>
              <w:t>Ставка налога на прибыль (%)</w:t>
            </w:r>
          </w:p>
        </w:tc>
        <w:tc>
          <w:tcPr>
            <w:tcW w:w="1366" w:type="dxa"/>
          </w:tcPr>
          <w:p w:rsidR="001B6DE2" w:rsidRPr="00C36631" w:rsidRDefault="001B6DE2" w:rsidP="00CF73CA">
            <w:pPr>
              <w:contextualSpacing/>
              <w:jc w:val="center"/>
              <w:rPr>
                <w:sz w:val="28"/>
                <w:szCs w:val="28"/>
              </w:rPr>
            </w:pPr>
            <w:r w:rsidRPr="00C36631">
              <w:rPr>
                <w:sz w:val="28"/>
                <w:szCs w:val="28"/>
              </w:rPr>
              <w:t>10%</w:t>
            </w:r>
          </w:p>
        </w:tc>
        <w:tc>
          <w:tcPr>
            <w:tcW w:w="1454" w:type="dxa"/>
          </w:tcPr>
          <w:p w:rsidR="001B6DE2" w:rsidRPr="00C36631" w:rsidRDefault="001B6DE2" w:rsidP="00CF73CA">
            <w:pPr>
              <w:contextualSpacing/>
              <w:jc w:val="center"/>
              <w:rPr>
                <w:sz w:val="28"/>
                <w:szCs w:val="28"/>
              </w:rPr>
            </w:pPr>
            <w:r w:rsidRPr="00C36631">
              <w:rPr>
                <w:sz w:val="28"/>
                <w:szCs w:val="28"/>
              </w:rPr>
              <w:t>9%</w:t>
            </w:r>
          </w:p>
        </w:tc>
        <w:tc>
          <w:tcPr>
            <w:tcW w:w="1454" w:type="dxa"/>
          </w:tcPr>
          <w:p w:rsidR="001B6DE2" w:rsidRPr="00C36631" w:rsidRDefault="001B6DE2" w:rsidP="00CF73CA">
            <w:pPr>
              <w:contextualSpacing/>
              <w:jc w:val="center"/>
              <w:rPr>
                <w:sz w:val="28"/>
                <w:szCs w:val="28"/>
              </w:rPr>
            </w:pPr>
            <w:r w:rsidRPr="00C36631">
              <w:rPr>
                <w:sz w:val="28"/>
                <w:szCs w:val="28"/>
              </w:rPr>
              <w:t>4,5%</w:t>
            </w:r>
          </w:p>
        </w:tc>
      </w:tr>
      <w:tr w:rsidR="001B6DE2" w:rsidRPr="00C36631" w:rsidTr="00CF73CA">
        <w:trPr>
          <w:trHeight w:val="77"/>
        </w:trPr>
        <w:tc>
          <w:tcPr>
            <w:tcW w:w="5070" w:type="dxa"/>
          </w:tcPr>
          <w:p w:rsidR="001B6DE2" w:rsidRPr="00C36631" w:rsidRDefault="001B6DE2" w:rsidP="00CF73CA">
            <w:pPr>
              <w:contextualSpacing/>
              <w:jc w:val="both"/>
              <w:rPr>
                <w:sz w:val="28"/>
                <w:szCs w:val="28"/>
              </w:rPr>
            </w:pPr>
            <w:r w:rsidRPr="00C36631">
              <w:rPr>
                <w:sz w:val="28"/>
                <w:szCs w:val="28"/>
              </w:rPr>
              <w:t>Сумма налога на прибыль (млн руб.)</w:t>
            </w:r>
          </w:p>
        </w:tc>
        <w:tc>
          <w:tcPr>
            <w:tcW w:w="1366" w:type="dxa"/>
          </w:tcPr>
          <w:p w:rsidR="001B6DE2" w:rsidRPr="00C36631" w:rsidRDefault="001B6DE2" w:rsidP="00CF73CA">
            <w:pPr>
              <w:contextualSpacing/>
              <w:jc w:val="center"/>
              <w:rPr>
                <w:sz w:val="28"/>
                <w:szCs w:val="28"/>
              </w:rPr>
            </w:pPr>
            <w:r w:rsidRPr="00C36631">
              <w:rPr>
                <w:sz w:val="28"/>
                <w:szCs w:val="28"/>
              </w:rPr>
              <w:t>5</w:t>
            </w:r>
          </w:p>
        </w:tc>
        <w:tc>
          <w:tcPr>
            <w:tcW w:w="1454" w:type="dxa"/>
          </w:tcPr>
          <w:p w:rsidR="001B6DE2" w:rsidRPr="00C36631" w:rsidRDefault="001B6DE2" w:rsidP="00CF73CA">
            <w:pPr>
              <w:contextualSpacing/>
              <w:jc w:val="center"/>
              <w:rPr>
                <w:sz w:val="28"/>
                <w:szCs w:val="28"/>
              </w:rPr>
            </w:pPr>
            <w:r w:rsidRPr="00C36631">
              <w:rPr>
                <w:sz w:val="28"/>
                <w:szCs w:val="28"/>
              </w:rPr>
              <w:t>5</w:t>
            </w:r>
          </w:p>
        </w:tc>
        <w:tc>
          <w:tcPr>
            <w:tcW w:w="1454" w:type="dxa"/>
          </w:tcPr>
          <w:p w:rsidR="001B6DE2" w:rsidRPr="00C36631" w:rsidRDefault="001B6DE2" w:rsidP="00CF73CA">
            <w:pPr>
              <w:contextualSpacing/>
              <w:jc w:val="center"/>
              <w:rPr>
                <w:sz w:val="28"/>
                <w:szCs w:val="28"/>
              </w:rPr>
            </w:pPr>
            <w:r w:rsidRPr="00C36631">
              <w:rPr>
                <w:sz w:val="28"/>
                <w:szCs w:val="28"/>
              </w:rPr>
              <w:t>5</w:t>
            </w:r>
          </w:p>
        </w:tc>
      </w:tr>
      <w:tr w:rsidR="001B6DE2" w:rsidRPr="00C36631" w:rsidTr="00CF73CA">
        <w:tc>
          <w:tcPr>
            <w:tcW w:w="5070" w:type="dxa"/>
          </w:tcPr>
          <w:p w:rsidR="001B6DE2" w:rsidRPr="00C36631" w:rsidRDefault="001B6DE2" w:rsidP="00CF73CA">
            <w:pPr>
              <w:contextualSpacing/>
              <w:jc w:val="both"/>
              <w:rPr>
                <w:sz w:val="28"/>
                <w:szCs w:val="28"/>
              </w:rPr>
            </w:pPr>
            <w:r w:rsidRPr="00C36631">
              <w:rPr>
                <w:sz w:val="28"/>
                <w:szCs w:val="28"/>
              </w:rPr>
              <w:t>Экономия на налогах (млн руб.)</w:t>
            </w:r>
          </w:p>
        </w:tc>
        <w:tc>
          <w:tcPr>
            <w:tcW w:w="1366" w:type="dxa"/>
          </w:tcPr>
          <w:p w:rsidR="001B6DE2" w:rsidRPr="00C36631" w:rsidRDefault="001B6DE2" w:rsidP="00CF73CA">
            <w:pPr>
              <w:contextualSpacing/>
              <w:jc w:val="center"/>
              <w:rPr>
                <w:sz w:val="28"/>
                <w:szCs w:val="28"/>
              </w:rPr>
            </w:pPr>
            <w:r w:rsidRPr="00C36631">
              <w:rPr>
                <w:sz w:val="28"/>
                <w:szCs w:val="28"/>
              </w:rPr>
              <w:t>2.5</w:t>
            </w:r>
          </w:p>
        </w:tc>
        <w:tc>
          <w:tcPr>
            <w:tcW w:w="1454" w:type="dxa"/>
          </w:tcPr>
          <w:p w:rsidR="001B6DE2" w:rsidRPr="00C36631" w:rsidRDefault="001B6DE2" w:rsidP="00CF73CA">
            <w:pPr>
              <w:contextualSpacing/>
              <w:jc w:val="center"/>
              <w:rPr>
                <w:sz w:val="28"/>
                <w:szCs w:val="28"/>
              </w:rPr>
            </w:pPr>
            <w:r w:rsidRPr="00C36631">
              <w:rPr>
                <w:sz w:val="28"/>
                <w:szCs w:val="28"/>
              </w:rPr>
              <w:t>2</w:t>
            </w:r>
          </w:p>
        </w:tc>
        <w:tc>
          <w:tcPr>
            <w:tcW w:w="1454" w:type="dxa"/>
          </w:tcPr>
          <w:p w:rsidR="001B6DE2" w:rsidRPr="00C36631" w:rsidRDefault="001B6DE2" w:rsidP="00CF73CA">
            <w:pPr>
              <w:contextualSpacing/>
              <w:jc w:val="center"/>
              <w:rPr>
                <w:sz w:val="28"/>
                <w:szCs w:val="28"/>
              </w:rPr>
            </w:pPr>
            <w:r w:rsidRPr="00C36631">
              <w:rPr>
                <w:sz w:val="28"/>
                <w:szCs w:val="28"/>
              </w:rPr>
              <w:t>1,25</w:t>
            </w:r>
          </w:p>
        </w:tc>
      </w:tr>
    </w:tbl>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Для обеспечения эффективности дополнительных налоговых льгот необходимо также принять дополнительные меры. Важно обеспечить информационную поддержку МСП, организовать консультации и семинары по вопросам налоговых льгот и процедур их получения. Это поможет увеличить осведомленность и использование налоговых льгот среди малых и средних предприятий.</w:t>
      </w: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Необходимо также установить партнерские отношения с финансовыми и образовательными учреждениями для оказания комплексной поддержки МСП в области НИОКР. Совместные проекты с университетами и научно-</w:t>
      </w:r>
      <w:r w:rsidRPr="00C36631">
        <w:rPr>
          <w:rFonts w:ascii="Times New Roman" w:eastAsia="Times New Roman" w:hAnsi="Times New Roman" w:cs="Times New Roman"/>
          <w:sz w:val="28"/>
          <w:szCs w:val="28"/>
          <w:lang w:eastAsia="ru-RU"/>
        </w:rPr>
        <w:lastRenderedPageBreak/>
        <w:t>исследовательскими институтами помогут улучшить качество исследований и увеличить количество инновационных проектов.</w:t>
      </w: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Введение системы мониторинга и оценки эффективности налоговых льгот позволит отслеживать результаты и вносить необходимые корректировки для повышения эффективности программы. Мониторинг и оценка будут обеспечивать прозрачность и подотчетность использования налоговых льгот, что повысит доверие со стороны МСП и государственных органов.</w:t>
      </w:r>
    </w:p>
    <w:p w:rsidR="001B6DE2" w:rsidRPr="00C36631" w:rsidRDefault="001B6DE2" w:rsidP="001B6DE2">
      <w:pPr>
        <w:spacing w:after="0" w:line="360" w:lineRule="auto"/>
        <w:ind w:firstLine="708"/>
        <w:contextualSpacing/>
        <w:jc w:val="both"/>
        <w:rPr>
          <w:rFonts w:ascii="Times New Roman" w:eastAsia="Times New Roman" w:hAnsi="Times New Roman" w:cs="Times New Roman"/>
          <w:sz w:val="28"/>
          <w:szCs w:val="28"/>
          <w:lang w:eastAsia="ru-RU"/>
        </w:rPr>
      </w:pPr>
      <w:r w:rsidRPr="00C36631">
        <w:rPr>
          <w:rFonts w:ascii="Times New Roman" w:eastAsia="Times New Roman" w:hAnsi="Times New Roman" w:cs="Times New Roman"/>
          <w:sz w:val="28"/>
          <w:szCs w:val="28"/>
          <w:lang w:eastAsia="ru-RU"/>
        </w:rPr>
        <w:t xml:space="preserve">Таким образом, предложенные выше меры по введению налоговых вычетов и льгот для частных инвестиций в НИОКР способствуют созданию благоприятных условий для развития инновационного бизнеса в России. Эти меры не только будут стимулировать частные инвестиции в НИОКР, но и способствовать устойчивому экономическому развитию страны. Внедрение данных предложений потребует активного взаимодействия между государством, бизнесом и научным сообществом. </w:t>
      </w:r>
    </w:p>
    <w:p w:rsidR="001B6DE2" w:rsidRPr="00033D33" w:rsidRDefault="001B6DE2" w:rsidP="001B6DE2">
      <w:pPr>
        <w:jc w:val="center"/>
        <w:rPr>
          <w:rFonts w:ascii="Times New Roman" w:eastAsia="Calibri" w:hAnsi="Times New Roman" w:cs="Times New Roman"/>
          <w:b/>
          <w:sz w:val="28"/>
          <w:szCs w:val="28"/>
        </w:rPr>
      </w:pPr>
      <w:r>
        <w:rPr>
          <w:rFonts w:ascii="Times New Roman" w:eastAsia="Times New Roman" w:hAnsi="Times New Roman" w:cs="Times New Roman"/>
          <w:bCs/>
          <w:sz w:val="28"/>
          <w:szCs w:val="28"/>
          <w:lang w:eastAsia="ru-RU"/>
        </w:rPr>
        <w:br w:type="page"/>
      </w:r>
      <w:r w:rsidRPr="00033D33">
        <w:rPr>
          <w:rFonts w:ascii="Times New Roman" w:eastAsia="Calibri" w:hAnsi="Times New Roman" w:cs="Times New Roman"/>
          <w:b/>
          <w:sz w:val="28"/>
          <w:szCs w:val="28"/>
        </w:rPr>
        <w:lastRenderedPageBreak/>
        <w:t>ЗАКЛЮЧЕНИЕ</w:t>
      </w:r>
    </w:p>
    <w:p w:rsidR="001B6DE2" w:rsidRPr="00C36631" w:rsidRDefault="001B6DE2" w:rsidP="001B6DE2">
      <w:pPr>
        <w:autoSpaceDE w:val="0"/>
        <w:autoSpaceDN w:val="0"/>
        <w:adjustRightInd w:val="0"/>
        <w:spacing w:after="0" w:line="360" w:lineRule="auto"/>
        <w:ind w:firstLine="567"/>
        <w:jc w:val="both"/>
        <w:rPr>
          <w:rFonts w:ascii="Times New Roman" w:eastAsia="Calibri" w:hAnsi="Times New Roman" w:cs="Times New Roman"/>
          <w:sz w:val="28"/>
          <w:szCs w:val="28"/>
        </w:rPr>
      </w:pPr>
    </w:p>
    <w:p w:rsidR="001B6DE2" w:rsidRPr="00C36631" w:rsidRDefault="001B6DE2" w:rsidP="001B6DE2">
      <w:pPr>
        <w:spacing w:after="0" w:line="360" w:lineRule="auto"/>
        <w:ind w:firstLine="709"/>
        <w:jc w:val="both"/>
        <w:rPr>
          <w:rFonts w:ascii="Times New Roman" w:eastAsia="Calibri" w:hAnsi="Times New Roman" w:cs="Times New Roman"/>
          <w:color w:val="000000" w:themeColor="text1"/>
          <w:sz w:val="28"/>
          <w:szCs w:val="28"/>
        </w:rPr>
      </w:pPr>
      <w:r w:rsidRPr="00C36631">
        <w:rPr>
          <w:rFonts w:ascii="Times New Roman" w:eastAsia="Calibri" w:hAnsi="Times New Roman" w:cs="Times New Roman"/>
          <w:color w:val="000000" w:themeColor="text1"/>
          <w:sz w:val="28"/>
          <w:szCs w:val="28"/>
        </w:rPr>
        <w:t>В данной диссертации были исследованы теоретические и практические аспекты развития финансовых инструментов стимулирования инновационного бизнеса в российской экономике. Актуальность темы исследования усиливается в контексте обеспечения технологического суверенитета РФ, перехода к инновационной модели экономики.</w:t>
      </w:r>
    </w:p>
    <w:p w:rsidR="001B6DE2" w:rsidRPr="00C36631" w:rsidRDefault="001B6DE2" w:rsidP="001B6DE2">
      <w:pPr>
        <w:spacing w:after="0" w:line="360" w:lineRule="auto"/>
        <w:ind w:firstLine="709"/>
        <w:jc w:val="both"/>
        <w:rPr>
          <w:rFonts w:ascii="Times New Roman" w:eastAsia="Calibri" w:hAnsi="Times New Roman" w:cs="Times New Roman"/>
          <w:color w:val="000000" w:themeColor="text1"/>
          <w:sz w:val="28"/>
          <w:szCs w:val="28"/>
        </w:rPr>
      </w:pPr>
      <w:r w:rsidRPr="00C36631">
        <w:rPr>
          <w:rFonts w:ascii="Times New Roman" w:eastAsia="Calibri" w:hAnsi="Times New Roman" w:cs="Times New Roman"/>
          <w:color w:val="000000" w:themeColor="text1"/>
          <w:sz w:val="28"/>
          <w:szCs w:val="28"/>
        </w:rPr>
        <w:t>В результате проведенного в ВКР анализа действующих финансовых инструментов стимулирования инновационного бизнеса в РФ были сформулированы следующие проблемы:</w:t>
      </w:r>
    </w:p>
    <w:p w:rsidR="001B6DE2" w:rsidRPr="00C36631" w:rsidRDefault="001B6DE2" w:rsidP="001B6DE2">
      <w:pPr>
        <w:pStyle w:val="af"/>
        <w:numPr>
          <w:ilvl w:val="0"/>
          <w:numId w:val="19"/>
        </w:numPr>
        <w:spacing w:after="0" w:line="360" w:lineRule="auto"/>
        <w:ind w:left="0" w:firstLine="709"/>
        <w:jc w:val="both"/>
        <w:rPr>
          <w:rFonts w:ascii="Times New Roman" w:eastAsia="Calibri" w:hAnsi="Times New Roman" w:cs="Times New Roman"/>
          <w:color w:val="000000" w:themeColor="text1"/>
          <w:sz w:val="28"/>
          <w:szCs w:val="28"/>
        </w:rPr>
      </w:pPr>
      <w:r w:rsidRPr="00C36631">
        <w:rPr>
          <w:rFonts w:ascii="Times New Roman" w:eastAsia="Calibri" w:hAnsi="Times New Roman" w:cs="Times New Roman"/>
          <w:color w:val="000000" w:themeColor="text1"/>
          <w:sz w:val="28"/>
          <w:szCs w:val="28"/>
        </w:rPr>
        <w:t>отсутствие четких критериев и балльной оценки перспективности инновационных проектов при принятии решения о предоставлении грантов и субсидий;</w:t>
      </w:r>
    </w:p>
    <w:p w:rsidR="001B6DE2" w:rsidRPr="00C36631" w:rsidRDefault="001B6DE2" w:rsidP="001B6DE2">
      <w:pPr>
        <w:pStyle w:val="af"/>
        <w:numPr>
          <w:ilvl w:val="0"/>
          <w:numId w:val="19"/>
        </w:numPr>
        <w:spacing w:after="0" w:line="360" w:lineRule="auto"/>
        <w:ind w:left="0" w:firstLine="709"/>
        <w:jc w:val="both"/>
        <w:rPr>
          <w:rFonts w:ascii="Times New Roman" w:eastAsia="Calibri" w:hAnsi="Times New Roman" w:cs="Times New Roman"/>
          <w:color w:val="000000" w:themeColor="text1"/>
          <w:sz w:val="28"/>
          <w:szCs w:val="28"/>
        </w:rPr>
      </w:pPr>
      <w:r w:rsidRPr="00C36631">
        <w:rPr>
          <w:rFonts w:ascii="Times New Roman" w:eastAsia="Calibri" w:hAnsi="Times New Roman" w:cs="Times New Roman"/>
          <w:color w:val="000000" w:themeColor="text1"/>
          <w:sz w:val="28"/>
          <w:szCs w:val="28"/>
        </w:rPr>
        <w:t>низкая активность частных инвесторов в финансировании высокорисковых инновационных проектов из-за отсутствия налоговых льгот;</w:t>
      </w:r>
    </w:p>
    <w:p w:rsidR="001B6DE2" w:rsidRPr="00C36631" w:rsidRDefault="001B6DE2" w:rsidP="001B6DE2">
      <w:pPr>
        <w:pStyle w:val="af"/>
        <w:numPr>
          <w:ilvl w:val="0"/>
          <w:numId w:val="19"/>
        </w:numPr>
        <w:spacing w:after="0" w:line="360" w:lineRule="auto"/>
        <w:ind w:left="0" w:firstLine="709"/>
        <w:jc w:val="both"/>
        <w:rPr>
          <w:rFonts w:ascii="Times New Roman" w:eastAsia="Calibri" w:hAnsi="Times New Roman" w:cs="Times New Roman"/>
          <w:color w:val="000000" w:themeColor="text1"/>
          <w:sz w:val="28"/>
          <w:szCs w:val="28"/>
        </w:rPr>
      </w:pPr>
      <w:r w:rsidRPr="00C36631">
        <w:rPr>
          <w:rFonts w:ascii="Times New Roman" w:eastAsia="Calibri" w:hAnsi="Times New Roman" w:cs="Times New Roman"/>
          <w:color w:val="000000" w:themeColor="text1"/>
          <w:sz w:val="28"/>
          <w:szCs w:val="28"/>
        </w:rPr>
        <w:t>отсутствие налоговых льгот по налогу на прибыль у инновационных предприятий малого и среднего бизнеса в зависимости от объемов затрат на НИОКР в совокупных затратах.</w:t>
      </w:r>
    </w:p>
    <w:p w:rsidR="001B6DE2" w:rsidRPr="00C36631" w:rsidRDefault="001B6DE2" w:rsidP="001B6DE2">
      <w:pPr>
        <w:pStyle w:val="af"/>
        <w:spacing w:after="0" w:line="360" w:lineRule="auto"/>
        <w:ind w:left="0" w:firstLine="709"/>
        <w:jc w:val="both"/>
        <w:rPr>
          <w:rFonts w:ascii="Times New Roman" w:eastAsia="Calibri" w:hAnsi="Times New Roman" w:cs="Times New Roman"/>
          <w:color w:val="000000" w:themeColor="text1"/>
          <w:sz w:val="28"/>
          <w:szCs w:val="28"/>
        </w:rPr>
      </w:pPr>
      <w:r w:rsidRPr="00C36631">
        <w:rPr>
          <w:rFonts w:ascii="Times New Roman" w:eastAsia="Calibri" w:hAnsi="Times New Roman" w:cs="Times New Roman"/>
          <w:color w:val="000000" w:themeColor="text1"/>
          <w:sz w:val="28"/>
          <w:szCs w:val="28"/>
        </w:rPr>
        <w:t>Для решения указанных проблем в ВКР были разработаны положения научной новизны и комплекс рекомендаций по развитию финансовых инструментов стимулирования инновационного бизнеса в РФ.</w:t>
      </w:r>
    </w:p>
    <w:p w:rsidR="001B6DE2" w:rsidRPr="00C36631" w:rsidRDefault="001B6DE2" w:rsidP="001B6DE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36631">
        <w:rPr>
          <w:rFonts w:ascii="Times New Roman" w:eastAsia="Times New Roman" w:hAnsi="Times New Roman" w:cs="Times New Roman"/>
          <w:color w:val="000000" w:themeColor="text1"/>
          <w:sz w:val="28"/>
          <w:szCs w:val="28"/>
          <w:lang w:eastAsia="ru-RU"/>
        </w:rPr>
        <w:t>Одним из направлений совершенствования механизма субсидирования и грантовой поддержки можно рассматривать авторскую методику, предполагающую интегральную балльную оценку инновационного проекта на основе следующих критериев: научно-технического, экономического, ресурсного, социального и экологического.</w:t>
      </w:r>
    </w:p>
    <w:p w:rsidR="001B6DE2" w:rsidRPr="00C36631" w:rsidRDefault="001B6DE2" w:rsidP="001B6DE2">
      <w:pPr>
        <w:spacing w:after="0" w:line="360" w:lineRule="auto"/>
        <w:ind w:firstLine="709"/>
        <w:contextualSpacing/>
        <w:jc w:val="both"/>
        <w:rPr>
          <w:rFonts w:ascii="Times New Roman" w:eastAsia="Times New Roman" w:hAnsi="Times New Roman" w:cs="Times New Roman"/>
          <w:b/>
          <w:color w:val="000000" w:themeColor="text1"/>
          <w:sz w:val="28"/>
          <w:szCs w:val="28"/>
          <w:lang w:eastAsia="ru-RU"/>
        </w:rPr>
      </w:pPr>
      <w:r w:rsidRPr="00C36631">
        <w:rPr>
          <w:rFonts w:ascii="Times New Roman" w:eastAsia="Times New Roman" w:hAnsi="Times New Roman" w:cs="Times New Roman"/>
          <w:color w:val="000000" w:themeColor="text1"/>
          <w:sz w:val="28"/>
          <w:szCs w:val="28"/>
          <w:lang w:eastAsia="ru-RU"/>
        </w:rPr>
        <w:t xml:space="preserve">  Для принятия решений о выдаче гранта или субсидии компаниям, оптимальным будет считаться балл, равный или превышающий 70% от значения максимально возможного балла по проекту. Такой порог позволит обеспечить достаточно высокий уровень отбора, который гарантирует </w:t>
      </w:r>
      <w:r w:rsidRPr="00C36631">
        <w:rPr>
          <w:rFonts w:ascii="Times New Roman" w:eastAsia="Times New Roman" w:hAnsi="Times New Roman" w:cs="Times New Roman"/>
          <w:color w:val="000000" w:themeColor="text1"/>
          <w:sz w:val="28"/>
          <w:szCs w:val="28"/>
          <w:lang w:eastAsia="ru-RU"/>
        </w:rPr>
        <w:lastRenderedPageBreak/>
        <w:t>поддержку наиболее перспективных и значимых инновационных проектов, способных принести максимальный социально-экономический эффект.</w:t>
      </w:r>
    </w:p>
    <w:p w:rsidR="001B6DE2" w:rsidRPr="00C36631" w:rsidRDefault="001B6DE2" w:rsidP="001B6DE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36631">
        <w:rPr>
          <w:rFonts w:ascii="Times New Roman" w:eastAsia="Times New Roman" w:hAnsi="Times New Roman" w:cs="Times New Roman"/>
          <w:color w:val="000000" w:themeColor="text1"/>
          <w:sz w:val="28"/>
          <w:szCs w:val="28"/>
          <w:lang w:eastAsia="ru-RU"/>
        </w:rPr>
        <w:t xml:space="preserve">Другим финансовым инструментом, разработанным в ВКР, является введение налоговых вычетов для компаний и частных лиц, инвестирующих в НИОКР. Для повышения эффективности налоговых льгот и увеличения объема инвестиций  в НИОКР предлагается усовершенствовать действующий механизм и ввести дифференцированные ставки налогового вычета, зависящие от суммы инвестиций. Введение налогового вычета на прибыль будет иметь ряд конкретных критериев для получения, что обеспечит целенаправленную поддержку и контроль за использованием средств. </w:t>
      </w:r>
    </w:p>
    <w:p w:rsidR="001B6DE2" w:rsidRPr="00C36631" w:rsidRDefault="001B6DE2" w:rsidP="001B6DE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36631">
        <w:rPr>
          <w:rFonts w:ascii="Times New Roman" w:eastAsia="Times New Roman" w:hAnsi="Times New Roman" w:cs="Times New Roman"/>
          <w:color w:val="000000" w:themeColor="text1"/>
          <w:sz w:val="28"/>
          <w:szCs w:val="28"/>
          <w:lang w:eastAsia="ru-RU"/>
        </w:rPr>
        <w:t xml:space="preserve">Предлагаемая шкала налогового вычета на прибыль состоит из трех уровней (5-7-10%), которые учитывают различные объемы инвестиций в НИОКР, позволяет поддерживать как малые, так и крупные проекты, обеспечивая гибкость и справедливость в налоговом стимулировании. </w:t>
      </w:r>
    </w:p>
    <w:p w:rsidR="001B6DE2" w:rsidRPr="00C36631" w:rsidRDefault="001B6DE2" w:rsidP="001B6DE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36631">
        <w:rPr>
          <w:rFonts w:ascii="Times New Roman" w:eastAsia="Times New Roman" w:hAnsi="Times New Roman" w:cs="Times New Roman"/>
          <w:color w:val="000000" w:themeColor="text1"/>
          <w:sz w:val="28"/>
          <w:szCs w:val="28"/>
          <w:lang w:eastAsia="ru-RU"/>
        </w:rPr>
        <w:t>Для получения налогового вычета инвесторы должны соответствовать определенным критериям. Во-первых, минимальная сумма инвестиций должна составлять не менее 1 млн. рублей. Это минимальное пороговое значение для поддержки значимых инновационных проектов. Во-вторых, проект должен быть зарегистрирован в реестре инновационных проектов Министерства экономического развития. Регистрация обеспечивает официальный статус проекта и подтверждает его соответствие установленным критериям инновационности. В-третьих, инвестор должен предоставить отчет о результатах НИОКР и подтверждение использования средств по назначению. Отчет должен включать подробное описание проведенных работ, достигнутые результаты, а также финансовый отчет, подтверждающий целевое использование средств.</w:t>
      </w:r>
    </w:p>
    <w:p w:rsidR="001B6DE2" w:rsidRPr="00C36631" w:rsidRDefault="001B6DE2" w:rsidP="001B6DE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36631">
        <w:rPr>
          <w:rFonts w:ascii="Times New Roman" w:eastAsia="Times New Roman" w:hAnsi="Times New Roman" w:cs="Times New Roman"/>
          <w:color w:val="000000" w:themeColor="text1"/>
          <w:sz w:val="28"/>
          <w:szCs w:val="28"/>
          <w:lang w:eastAsia="ru-RU"/>
        </w:rPr>
        <w:t xml:space="preserve">Еще одним инструментом по совершенствованию системы налогового стимулирования инновационного бизнеса является внедрение дополнительных налоговых льгот для малых и средних предприятий (МСП), занимающихся инновационной деятельностью. </w:t>
      </w:r>
    </w:p>
    <w:p w:rsidR="001B6DE2" w:rsidRPr="00C36631" w:rsidRDefault="001B6DE2" w:rsidP="001B6DE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36631">
        <w:rPr>
          <w:rFonts w:ascii="Times New Roman" w:eastAsia="Times New Roman" w:hAnsi="Times New Roman" w:cs="Times New Roman"/>
          <w:color w:val="000000" w:themeColor="text1"/>
          <w:sz w:val="28"/>
          <w:szCs w:val="28"/>
          <w:lang w:eastAsia="ru-RU"/>
        </w:rPr>
        <w:lastRenderedPageBreak/>
        <w:t>Это поможет стимулировать инновационную активность среди МСП, которые часто сталкиваются с недостатком финансовых ресурсов и сложностями в получении существующих налоговых льгот. Увеличение налоговых льгот будет способствовать развитию новых технологий и повышению конкурентоспособности российских МСП.</w:t>
      </w:r>
    </w:p>
    <w:p w:rsidR="001B6DE2" w:rsidRPr="00C36631" w:rsidRDefault="001B6DE2" w:rsidP="001B6DE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36631">
        <w:rPr>
          <w:rFonts w:ascii="Times New Roman" w:eastAsia="Times New Roman" w:hAnsi="Times New Roman" w:cs="Times New Roman"/>
          <w:color w:val="000000" w:themeColor="text1"/>
          <w:sz w:val="28"/>
          <w:szCs w:val="28"/>
          <w:lang w:eastAsia="ru-RU"/>
        </w:rPr>
        <w:t>Объем инвестиций малого (среднего) предприятия в НИОКР должен составлять не менее 10% от общего объема затрат предприятия. Это будет гарантировать, что предприятия, получающие налоговые льготы, активно инвестируют в инновационную деятельность и развивают новые технологии. Предприятия должны будут предоставить план и отчет о реализации НИОКР, а также результаты независимого аудита. Эти документы будут подтверждать целевое использование средств и достигнутые результаты.</w:t>
      </w:r>
    </w:p>
    <w:p w:rsidR="001B6DE2" w:rsidRPr="00C36631" w:rsidRDefault="001B6DE2" w:rsidP="001B6DE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36631">
        <w:rPr>
          <w:rFonts w:ascii="Times New Roman" w:eastAsia="Times New Roman" w:hAnsi="Times New Roman" w:cs="Times New Roman"/>
          <w:color w:val="000000" w:themeColor="text1"/>
          <w:sz w:val="28"/>
          <w:szCs w:val="28"/>
          <w:lang w:eastAsia="ru-RU"/>
        </w:rPr>
        <w:t xml:space="preserve">Снижение ставки налога на прибыль субъектов МСП будет пропорционально объему инвестиций в НИОКР. Например, если объем инвестиций составляет 10% от общего объема затрат, ставка налога на прибыль будет снижена до 15%, если 20% — до 12%, если 30% — до 10%. </w:t>
      </w:r>
    </w:p>
    <w:p w:rsidR="001B6DE2" w:rsidRPr="00C36631" w:rsidRDefault="001B6DE2" w:rsidP="001B6DE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36631">
        <w:rPr>
          <w:rFonts w:ascii="Times New Roman" w:eastAsia="Times New Roman" w:hAnsi="Times New Roman" w:cs="Times New Roman"/>
          <w:color w:val="000000" w:themeColor="text1"/>
          <w:sz w:val="28"/>
          <w:szCs w:val="28"/>
          <w:lang w:eastAsia="ru-RU"/>
        </w:rPr>
        <w:t>Кроме этого, в предлагаемой шкале учитываются применяемые системы налогообложения на малом или среднем предприятии: общая система и упрощенная системы налогообложения. В зависимости от применяемой системы налогообложения льготная ставка по налогу на прибыль может находиться в диапазоне</w:t>
      </w:r>
      <w:r w:rsidRPr="0083569B">
        <w:rPr>
          <w:rFonts w:ascii="Times New Roman" w:eastAsia="Times New Roman" w:hAnsi="Times New Roman" w:cs="Times New Roman"/>
          <w:color w:val="000000" w:themeColor="text1"/>
          <w:sz w:val="28"/>
          <w:szCs w:val="28"/>
          <w:lang w:eastAsia="ru-RU"/>
        </w:rPr>
        <w:t xml:space="preserve"> </w:t>
      </w:r>
      <w:r w:rsidRPr="00C36631">
        <w:rPr>
          <w:rFonts w:ascii="Times New Roman" w:eastAsia="Times New Roman" w:hAnsi="Times New Roman" w:cs="Times New Roman"/>
          <w:color w:val="000000" w:themeColor="text1"/>
          <w:sz w:val="28"/>
          <w:szCs w:val="28"/>
          <w:lang w:eastAsia="ru-RU"/>
        </w:rPr>
        <w:t>от 4,5 до 15%. Такая политика нацелена на стимулирование развития научной сферы и технологического обновления производства в рамках малого и среднего бизнеса. Сокращение налоговой нагрузки при увеличении финансирования в НИОКР создает более благоприятные условия для инновационного развития и может способствовать повышению конкурентоспособности отечественных компаний.</w:t>
      </w:r>
    </w:p>
    <w:p w:rsidR="001B6DE2" w:rsidRPr="00C36631" w:rsidRDefault="001B6DE2" w:rsidP="001B6DE2">
      <w:pPr>
        <w:spacing w:line="360" w:lineRule="auto"/>
        <w:ind w:firstLine="709"/>
        <w:contextualSpacing/>
        <w:jc w:val="both"/>
        <w:rPr>
          <w:rFonts w:ascii="Times New Roman" w:eastAsia="Calibri" w:hAnsi="Times New Roman" w:cs="Times New Roman"/>
          <w:color w:val="000000" w:themeColor="text1"/>
          <w:sz w:val="28"/>
          <w:szCs w:val="28"/>
        </w:rPr>
      </w:pPr>
      <w:r w:rsidRPr="00C36631">
        <w:rPr>
          <w:rFonts w:ascii="Times New Roman" w:eastAsia="Calibri" w:hAnsi="Times New Roman" w:cs="Times New Roman"/>
          <w:bCs/>
          <w:color w:val="000000" w:themeColor="text1"/>
          <w:sz w:val="28"/>
          <w:szCs w:val="28"/>
        </w:rPr>
        <w:t xml:space="preserve">Разработанный в магистерской диссертации комплекс предложений и рекомендаций по совершенствованию финансовых инструментов стимулирования инновационного бизнеса в России будет способствовать росту инновационной активности предприятий, расширению источников </w:t>
      </w:r>
      <w:r w:rsidRPr="00C36631">
        <w:rPr>
          <w:rFonts w:ascii="Times New Roman" w:eastAsia="Calibri" w:hAnsi="Times New Roman" w:cs="Times New Roman"/>
          <w:bCs/>
          <w:color w:val="000000" w:themeColor="text1"/>
          <w:sz w:val="28"/>
          <w:szCs w:val="28"/>
        </w:rPr>
        <w:lastRenderedPageBreak/>
        <w:t xml:space="preserve">финансирования НИОКР за счет привлечения дополнительных частных инвестиций, достижению технологического суверенитета РФ. </w:t>
      </w:r>
    </w:p>
    <w:p w:rsidR="001B6DE2" w:rsidRPr="00C36631" w:rsidRDefault="001B6DE2" w:rsidP="001B6DE2">
      <w:pPr>
        <w:rPr>
          <w:rFonts w:ascii="Times New Roman" w:eastAsia="Calibri" w:hAnsi="Times New Roman" w:cs="Times New Roman"/>
          <w:sz w:val="28"/>
          <w:szCs w:val="28"/>
        </w:rPr>
      </w:pPr>
      <w:r w:rsidRPr="00C36631">
        <w:rPr>
          <w:rFonts w:ascii="Times New Roman" w:eastAsia="Calibri" w:hAnsi="Times New Roman" w:cs="Times New Roman"/>
          <w:sz w:val="28"/>
          <w:szCs w:val="28"/>
        </w:rPr>
        <w:br w:type="page"/>
      </w:r>
    </w:p>
    <w:p w:rsidR="001B6DE2" w:rsidRPr="00033D33" w:rsidRDefault="001B6DE2" w:rsidP="001B6DE2">
      <w:pPr>
        <w:autoSpaceDE w:val="0"/>
        <w:autoSpaceDN w:val="0"/>
        <w:adjustRightInd w:val="0"/>
        <w:spacing w:after="0" w:line="360" w:lineRule="auto"/>
        <w:ind w:firstLine="567"/>
        <w:jc w:val="center"/>
        <w:rPr>
          <w:rFonts w:ascii="Times New Roman" w:eastAsia="Calibri" w:hAnsi="Times New Roman" w:cs="Times New Roman"/>
          <w:b/>
          <w:sz w:val="28"/>
          <w:szCs w:val="28"/>
        </w:rPr>
      </w:pPr>
      <w:r w:rsidRPr="00033D33">
        <w:rPr>
          <w:rFonts w:ascii="Times New Roman" w:eastAsia="Calibri" w:hAnsi="Times New Roman" w:cs="Times New Roman"/>
          <w:b/>
          <w:sz w:val="28"/>
          <w:szCs w:val="28"/>
        </w:rPr>
        <w:lastRenderedPageBreak/>
        <w:t>СПИСОК ИСПОЛЬЗОВАННЫХ ИСТОЧНИКОВ</w:t>
      </w:r>
    </w:p>
    <w:p w:rsidR="001B6DE2" w:rsidRPr="00C36631" w:rsidRDefault="001B6DE2" w:rsidP="001B6DE2">
      <w:pPr>
        <w:autoSpaceDE w:val="0"/>
        <w:autoSpaceDN w:val="0"/>
        <w:adjustRightInd w:val="0"/>
        <w:spacing w:after="0" w:line="360" w:lineRule="auto"/>
        <w:contextualSpacing/>
        <w:jc w:val="both"/>
        <w:rPr>
          <w:rFonts w:ascii="Times New Roman" w:eastAsia="Calibri" w:hAnsi="Times New Roman" w:cs="Times New Roman"/>
          <w:sz w:val="28"/>
          <w:szCs w:val="28"/>
        </w:rPr>
      </w:pP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Аганбегян, А. Г. Главные экономические вызовы, стоящие перед Россией // Научные труды Вольного экономического общества России, –2022. –238(6). С. 88-101. </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Адвокатова</w:t>
      </w:r>
      <w:r>
        <w:rPr>
          <w:rFonts w:ascii="Times New Roman" w:eastAsia="Calibri" w:hAnsi="Times New Roman" w:cs="Times New Roman"/>
          <w:sz w:val="28"/>
          <w:szCs w:val="28"/>
        </w:rPr>
        <w:t>, А.</w:t>
      </w:r>
      <w:r w:rsidRPr="00C36631">
        <w:rPr>
          <w:rFonts w:ascii="Times New Roman" w:eastAsia="Calibri" w:hAnsi="Times New Roman" w:cs="Times New Roman"/>
          <w:sz w:val="28"/>
          <w:szCs w:val="28"/>
        </w:rPr>
        <w:t>С. Исследование альтернативных концепций налогового регулирования как фактора обеспечения новой индустриальной революции в России / Балацкий Е. В., Вишневский В. П.  // М</w:t>
      </w:r>
      <w:r>
        <w:rPr>
          <w:rFonts w:ascii="Times New Roman" w:eastAsia="Calibri" w:hAnsi="Times New Roman" w:cs="Times New Roman"/>
          <w:sz w:val="28"/>
          <w:szCs w:val="28"/>
        </w:rPr>
        <w:t>осква</w:t>
      </w:r>
      <w:r w:rsidRPr="00C36631">
        <w:rPr>
          <w:rFonts w:ascii="Times New Roman" w:eastAsia="Calibri" w:hAnsi="Times New Roman" w:cs="Times New Roman"/>
          <w:sz w:val="28"/>
          <w:szCs w:val="28"/>
        </w:rPr>
        <w:t>: КноРус – 2023. –  С. 490</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Аузан, А.</w:t>
      </w:r>
      <w:r w:rsidRPr="00C36631">
        <w:rPr>
          <w:rFonts w:ascii="Times New Roman" w:eastAsia="Calibri" w:hAnsi="Times New Roman" w:cs="Times New Roman"/>
          <w:sz w:val="28"/>
          <w:szCs w:val="28"/>
        </w:rPr>
        <w:t>А</w:t>
      </w:r>
      <w:r>
        <w:rPr>
          <w:rFonts w:ascii="Times New Roman" w:eastAsia="Calibri" w:hAnsi="Times New Roman" w:cs="Times New Roman"/>
          <w:sz w:val="28"/>
          <w:szCs w:val="28"/>
        </w:rPr>
        <w:t xml:space="preserve">. </w:t>
      </w:r>
      <w:r w:rsidRPr="00C36631">
        <w:rPr>
          <w:rFonts w:ascii="Times New Roman" w:eastAsia="Calibri" w:hAnsi="Times New Roman" w:cs="Times New Roman"/>
          <w:sz w:val="28"/>
          <w:szCs w:val="28"/>
        </w:rPr>
        <w:t xml:space="preserve">Развитие креативной экономики России в контексте современных вызовов // Журнал Новой экономической ассоциации. – 2022. – 2(54). С. 213-220. </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Алёхина, Е.И. Стимулирование инновационного процесса предприятий в эпоху цифровизации: монография / Е.И. Алёхина // Социально-экономические процессы: новое видение, вызовы, тенденции. – Петрозаводск: МЦНП «Новая наука», 2021. – С. 55-65. </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Алисенов</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А.</w:t>
      </w:r>
      <w:r>
        <w:rPr>
          <w:rFonts w:ascii="Times New Roman" w:eastAsia="Calibri" w:hAnsi="Times New Roman" w:cs="Times New Roman"/>
          <w:sz w:val="28"/>
          <w:szCs w:val="28"/>
        </w:rPr>
        <w:t xml:space="preserve"> </w:t>
      </w:r>
      <w:r w:rsidRPr="00C36631">
        <w:rPr>
          <w:rFonts w:ascii="Times New Roman" w:eastAsia="Calibri" w:hAnsi="Times New Roman" w:cs="Times New Roman"/>
          <w:sz w:val="28"/>
          <w:szCs w:val="28"/>
        </w:rPr>
        <w:t>С. Налоговый механизм стимулирования инноваций в России // ЭКО. –  2021. –  №5 (491). – С. 42-51.</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Белякова, Е. И. / </w:t>
      </w:r>
      <w:r w:rsidRPr="00C36631">
        <w:rPr>
          <w:rFonts w:ascii="Times New Roman" w:eastAsia="Calibri" w:hAnsi="Times New Roman" w:cs="Times New Roman"/>
          <w:sz w:val="28"/>
          <w:szCs w:val="28"/>
        </w:rPr>
        <w:t>Налоговое стимулирование как инструмент реализации налоговой политики // Петербургский экономический журнал. – 2021. –  №2.</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Володченко</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В.С. Понятие и методология налогового стимулирования/ Ланцова Д.С., Миронова Т.А., Бышок К. А., Сапунова Е.В. // Вопросы науки и образования. –2022. – №3 (87). – С. 26-64 </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Вылкова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Е.С. Актуализация методов стимулирования НИОКР при налогообложении прибыли организаций в России / Викторова Н.Г, Покровская Н.В. // Известия Уральского государственного экономического университета. –</w:t>
      </w:r>
      <w:r>
        <w:rPr>
          <w:rFonts w:ascii="Times New Roman" w:eastAsia="Calibri" w:hAnsi="Times New Roman" w:cs="Times New Roman"/>
          <w:sz w:val="28"/>
          <w:szCs w:val="28"/>
        </w:rPr>
        <w:t xml:space="preserve"> </w:t>
      </w:r>
      <w:r w:rsidRPr="00C36631">
        <w:rPr>
          <w:rFonts w:ascii="Times New Roman" w:eastAsia="Calibri" w:hAnsi="Times New Roman" w:cs="Times New Roman"/>
          <w:sz w:val="28"/>
          <w:szCs w:val="28"/>
        </w:rPr>
        <w:t>2021. –Т. 19, –№ 5. – С. 44-58.</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Гишкаева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Л.Л. Качество жизни и современная экономика // Вестник Алтайской академии экономики и права. 2023. № 1. С. 26-31. </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lastRenderedPageBreak/>
        <w:t>Гончаренко</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Л.И. Налоговое стимулирование инновационного развития промышленного производства на основе анализа передового зарубежного опыта / Вишневская Н.Г // Экономика. Налоги. Право. – 2022. – Т. 12, – № 4. – С. 121-131.</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Гончаренко</w:t>
      </w:r>
      <w:r>
        <w:rPr>
          <w:rFonts w:ascii="Times New Roman" w:eastAsia="Calibri" w:hAnsi="Times New Roman" w:cs="Times New Roman"/>
          <w:sz w:val="28"/>
          <w:szCs w:val="28"/>
        </w:rPr>
        <w:t>, Л.И</w:t>
      </w:r>
      <w:r w:rsidRPr="00C36631">
        <w:rPr>
          <w:rFonts w:ascii="Times New Roman" w:eastAsia="Calibri" w:hAnsi="Times New Roman" w:cs="Times New Roman"/>
          <w:sz w:val="28"/>
          <w:szCs w:val="28"/>
        </w:rPr>
        <w:t>. О новых подходах к политике применения налоговых льгот и преференций в целях стимулирования развития экономики // Экономика. Налоги. Право. – 2021. – № 2. – С. 96-104.</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Горский</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И. В. Обоснованность стимулирующей роли налоговых льгот // Финансовый журнал. – 2022. – №4. – С. 156-165</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Гончаренко</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Л. И. Специальные налоговые режимы как инструменты пространственного экономического развития в новых условиях / Адвокатова А.С. Косенкова Ю. Ю // Экономика. Налоги. Право. – 2021.  – №14 (6).</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Глазьев, С. Ю. О создании систем стратегического планирования и управления научно-техническим развитием // Инновации.– 2021.Т. 2. С.14-23.</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Голова, И. М. Научно-технический потенциал регионов как основа технологической независимости РФ // Экономика региона. – 2022. – №18(4). С. 1062-1074. </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Демидова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С.Е. Оценка системы управления налоговыми расходами бюджетов субъектов Федерации // Вестник экономики, права и социологии. – 2023. – № 3. – С. 16–19.</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Дедов, С. В. Государственное регулирование инновационной деятельности социально-экономических систем / С. В. Дедов // Вестник Бурятского государственного университета. Экономика и менеджмент. – 2018. – № 1. – С.23-32</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Данные по формам статистической налоговой отчётности ФНС России [</w:t>
      </w:r>
      <w:r>
        <w:rPr>
          <w:rFonts w:ascii="Times New Roman" w:eastAsia="Calibri" w:hAnsi="Times New Roman" w:cs="Times New Roman"/>
          <w:sz w:val="28"/>
          <w:szCs w:val="28"/>
        </w:rPr>
        <w:t>Сайт</w:t>
      </w:r>
      <w:r w:rsidRPr="00C36631">
        <w:rPr>
          <w:rFonts w:ascii="Times New Roman" w:eastAsia="Calibri" w:hAnsi="Times New Roman" w:cs="Times New Roman"/>
          <w:sz w:val="28"/>
          <w:szCs w:val="28"/>
        </w:rPr>
        <w:t>]. - URL: https:// www. nalog.ru/rn77/related_activities/ statistics_and_analytics/forms/ (Дата обращения: 13.05.2024).</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lastRenderedPageBreak/>
        <w:t>Егорова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А. А. Участие субъектов Российской Федерации в осуществлении инвестиционной деятельности: правовые аспекты: дисс. канд. юр. наук. М., –  2021. </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Замлилова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Я.Н. Кластерный подход в реализации региональной экономической политики: проблемы финансового обеспечения / Никитин А.Н. // Вестник СГСЭУ. – 2021. – № 2 (36). – С. 145 - 148.</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Желтенков</w:t>
      </w:r>
      <w:r>
        <w:rPr>
          <w:rFonts w:ascii="Times New Roman" w:eastAsia="Calibri" w:hAnsi="Times New Roman" w:cs="Times New Roman"/>
          <w:sz w:val="28"/>
          <w:szCs w:val="28"/>
        </w:rPr>
        <w:t>, А. В</w:t>
      </w:r>
      <w:r w:rsidRPr="00C36631">
        <w:rPr>
          <w:rFonts w:ascii="Times New Roman" w:eastAsia="Calibri" w:hAnsi="Times New Roman" w:cs="Times New Roman"/>
          <w:sz w:val="28"/>
          <w:szCs w:val="28"/>
        </w:rPr>
        <w:t>. Роль инвестиций в обеспечении экономического роста // Вестник Московского государственного областного университета. Серия: Экономика. – 2022. – № 1. – С. 6-10.</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Власова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В.В. Индикаторы инновационной деятельности / Л.М. Гох-берг, Г. А. Грачева // НИУ ВШЭ. – 2023. – С.292</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Каленов, О. Е. Подходы к оценке инновационной деятельности фирмы / О. Е. Каленов // Вестник Российского экономического университета им. ГВ Плеханова. – 20</w:t>
      </w:r>
      <w:r>
        <w:rPr>
          <w:rFonts w:ascii="Times New Roman" w:eastAsia="Calibri" w:hAnsi="Times New Roman" w:cs="Times New Roman"/>
          <w:sz w:val="28"/>
          <w:szCs w:val="28"/>
        </w:rPr>
        <w:t>21</w:t>
      </w:r>
      <w:r w:rsidRPr="00C36631">
        <w:rPr>
          <w:rFonts w:ascii="Times New Roman" w:eastAsia="Calibri" w:hAnsi="Times New Roman" w:cs="Times New Roman"/>
          <w:sz w:val="28"/>
          <w:szCs w:val="28"/>
        </w:rPr>
        <w:t>. – № 5 (83). – С. 12-14.</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Каменских</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М. А. Повышение конкурентоспособности региона на основе организации инновационной инфраструктуры // Региональная экономика: теория и практика. – 2023. – № 2. – С.39-43.</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Канащенков</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А. И. Модернизация программно-целевых механизмов конкурсного отбора инновационных проектов / Новиков С. В., Тихонов А. И. // Экономика XXI века: новые реалии. – 2021. – С. 27-48.</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Концепция международного научно-технического сотрудничества Российской Федерации: целевые и дополнительные показатели программных документов / Ю. Е. Казаков, Т. У Албакова, А. Ю. Банников, И. Е. Ильина, В. В. Лапочкина, К. А. Калюжный, Ф. Б. Белов, Е. Е. Емельянова и др. М.: Министерство высшего образования и науки Российской Федерации. – 2022. – С. 21</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Кравцов</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А. А. Научное сотрудничество России на постсоветском пространстве: оценка по публикациям в Web of Science // Вестник Российской академии наук. – 2021. – Т. 89. – № 7. – С. 699-717.</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lastRenderedPageBreak/>
        <w:t>Косенкова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Ю.Ю. Роль налоговых инструментов в обеспечении финансирования малого и среднего предпринимательства // Вопросы региональной экономики. – 2023. – № 2 (55). – С. 151-159.</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Косенкова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Ю.Ю. Порядок и условия применения нулевой ставки налога на прибыль организаций ИТ-компаниями // Вестник бухгалтера Московского региона. – 2023. – № 3. – С. 45-48.</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Косенкова, Ю. Ю. Применение особых экономических зон в качестве налогового инструмента пространственного развития в контексте Индустрии 4.0 // Вопросы региональной экономики. –2021. – №49(4). – С. 211-220.</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Костенко</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О.В. Управляющие компании кластеров: российский и зарубежный опыт // Фундаментальные исследования. 2011. № 10-3. С. 594-599.</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Куценко</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Е. С., Абашкин В.Л. , Фияксель Э . А., Исланкина Е.А. Десять лет кластерной политики в России: логика ведомственных подходов // Инновации. 2011. № 12 (230). С. 46-58.</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Кольцова, А.А, Старобинская Н. М., Яковлева Т. В. Перспективы налогового стимулирования развития экономики России // Бизнес. Образование. Право. – 2023. – 62(1). – С. 52-60.</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Климова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Ю. О. Направления использования средств региональных фондов поддержки научной, научно-технической и инновационной деятельности // Business strategies. – 2023. – №9 (12). – С.343-350.</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Кириллова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С. С. Проблема вмешательства государства в рыночную экономику и инновационные процессы современности // Бизнес и дизайн ревю. – 2022. – №2 (26).</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xml:space="preserve">Ленчук, Е. Б. (2022). Научно-технологическое развитие как стратегический национальный приоритет России // Экономическое возрождение России. – 2022. – Т.1. С. 58-65. </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Лукин</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А.Е. Налоговое инновационная деятельность в системе государственного регулирования: дис. канд. экон. наук. – 2021. – С. 28</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lastRenderedPageBreak/>
        <w:t>Лыкова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Л.Н. Налоговая поддержка инноваций в России // Общественные науки и современность. – 2022. – № 5. – С. 17-29.</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Мандрощенко</w:t>
      </w:r>
      <w:r>
        <w:rPr>
          <w:rFonts w:ascii="Times New Roman" w:eastAsia="Calibri" w:hAnsi="Times New Roman" w:cs="Times New Roman"/>
          <w:sz w:val="28"/>
          <w:szCs w:val="28"/>
        </w:rPr>
        <w:t xml:space="preserve">, О.В. </w:t>
      </w:r>
      <w:r w:rsidRPr="00C36631">
        <w:rPr>
          <w:rFonts w:ascii="Times New Roman" w:eastAsia="Calibri" w:hAnsi="Times New Roman" w:cs="Times New Roman"/>
          <w:sz w:val="28"/>
          <w:szCs w:val="28"/>
        </w:rPr>
        <w:t>Налоговые инструменты в реализации инвестиционной политики регионов. М.: Дашков и К, 2021. 232 с.</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Меньшикова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В. И</w:t>
      </w:r>
      <w:r>
        <w:rPr>
          <w:rFonts w:ascii="Times New Roman" w:eastAsia="Calibri" w:hAnsi="Times New Roman" w:cs="Times New Roman"/>
          <w:sz w:val="28"/>
          <w:szCs w:val="28"/>
        </w:rPr>
        <w:t xml:space="preserve">. </w:t>
      </w:r>
      <w:r w:rsidRPr="00C36631">
        <w:rPr>
          <w:rFonts w:ascii="Times New Roman" w:eastAsia="Calibri" w:hAnsi="Times New Roman" w:cs="Times New Roman"/>
          <w:sz w:val="28"/>
          <w:szCs w:val="28"/>
        </w:rPr>
        <w:t>Модернизация инновационной подсистемы региона как фактор его устойчивого развития // Социально-экономические явления и процессы. – 2021. – № 9. – С. 99-103.</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Мельникова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Н.П. Инновационный кластер в экономических системах национального и глобального уровня // Экономика: вчера, сегодня, завтра. 2020. Т. 10, № 1-1. С. 240—245.</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Модернизация методики оценки эффективности федеральной целевой программы «Исследования и разработки по приоритетным направлениям развития научно-технологического комплекса России на 2014-2020 гг.» с помощью аппарата оценочных функций // Инновации. – 2022. –№ 2. – С. 42-4</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Молчанов</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И.Н. Особенности пространственного развития территорий (на примере субъектов РФ в составе дальневосточного федерального округа) // Региональная экономика. Юг России. 2022. Т. 10. № 1. С. 79-93</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Министерство экономического развития России. [</w:t>
      </w:r>
      <w:r>
        <w:rPr>
          <w:rFonts w:ascii="Times New Roman" w:eastAsia="Calibri" w:hAnsi="Times New Roman" w:cs="Times New Roman"/>
          <w:sz w:val="28"/>
          <w:szCs w:val="28"/>
        </w:rPr>
        <w:t>Сайт</w:t>
      </w:r>
      <w:r w:rsidRPr="00C36631">
        <w:rPr>
          <w:rFonts w:ascii="Times New Roman" w:eastAsia="Calibri" w:hAnsi="Times New Roman" w:cs="Times New Roman"/>
          <w:sz w:val="28"/>
          <w:szCs w:val="28"/>
        </w:rPr>
        <w:t>] URL: https://www.economy.gov.ru/ (дата обращения: 23.05.2024).</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Мандрощенко</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О.В. и др. Налоговые инструменты в реализации инвестиционной политики регионов. – 2021. – С. 232 </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Миронова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С. М. Влияние государственной финансово-правовой политики на муниципальные образования // Актуальные проблемы российского права. – 2020. – Т. 15. – №2. – С. 44-53</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Российская Федерация. Законы. </w:t>
      </w:r>
      <w:r w:rsidRPr="00C36631">
        <w:rPr>
          <w:rFonts w:ascii="Times New Roman" w:eastAsia="Calibri" w:hAnsi="Times New Roman" w:cs="Times New Roman"/>
          <w:sz w:val="28"/>
          <w:szCs w:val="28"/>
        </w:rPr>
        <w:t>Налоговый кодекс Российской Федерации</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(часть вторая) // URL: https://www.consultant.ru/document/cons_doc_LAW_28165/ (дата обращения: 16.05.2024).</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lastRenderedPageBreak/>
        <w:t xml:space="preserve">Налоговая политика. Теория и практика: учебник для магистров / под ред. И. А. Майбурова. </w:t>
      </w:r>
      <w:r w:rsidRPr="00737F27">
        <w:rPr>
          <w:rFonts w:ascii="Times New Roman" w:eastAsia="Calibri" w:hAnsi="Times New Roman" w:cs="Times New Roman"/>
          <w:sz w:val="28"/>
          <w:szCs w:val="28"/>
        </w:rPr>
        <w:t>Москва:</w:t>
      </w:r>
      <w:r w:rsidRPr="00C36631">
        <w:rPr>
          <w:rFonts w:ascii="Times New Roman" w:eastAsia="Calibri" w:hAnsi="Times New Roman" w:cs="Times New Roman"/>
          <w:sz w:val="28"/>
          <w:szCs w:val="28"/>
        </w:rPr>
        <w:t xml:space="preserve"> ЮНИТИ-ДАНА, –</w:t>
      </w:r>
      <w:r>
        <w:rPr>
          <w:rFonts w:ascii="Times New Roman" w:eastAsia="Calibri" w:hAnsi="Times New Roman" w:cs="Times New Roman"/>
          <w:sz w:val="28"/>
          <w:szCs w:val="28"/>
        </w:rPr>
        <w:t xml:space="preserve"> </w:t>
      </w:r>
      <w:r w:rsidRPr="00C36631">
        <w:rPr>
          <w:rFonts w:ascii="Times New Roman" w:eastAsia="Calibri" w:hAnsi="Times New Roman" w:cs="Times New Roman"/>
          <w:sz w:val="28"/>
          <w:szCs w:val="28"/>
        </w:rPr>
        <w:t>20</w:t>
      </w:r>
      <w:r>
        <w:rPr>
          <w:rFonts w:ascii="Times New Roman" w:eastAsia="Calibri" w:hAnsi="Times New Roman" w:cs="Times New Roman"/>
          <w:sz w:val="28"/>
          <w:szCs w:val="28"/>
        </w:rPr>
        <w:t>21</w:t>
      </w:r>
      <w:r w:rsidRPr="00C36631">
        <w:rPr>
          <w:rFonts w:ascii="Times New Roman" w:eastAsia="Calibri" w:hAnsi="Times New Roman" w:cs="Times New Roman"/>
          <w:sz w:val="28"/>
          <w:szCs w:val="28"/>
        </w:rPr>
        <w:t xml:space="preserve">. </w:t>
      </w:r>
      <w:r>
        <w:rPr>
          <w:rFonts w:ascii="Times New Roman" w:eastAsia="Calibri" w:hAnsi="Times New Roman" w:cs="Times New Roman"/>
          <w:sz w:val="28"/>
          <w:szCs w:val="28"/>
        </w:rPr>
        <w:t>С. 519.</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737F27">
        <w:rPr>
          <w:rFonts w:ascii="Times New Roman" w:eastAsia="Calibri" w:hAnsi="Times New Roman" w:cs="Times New Roman"/>
          <w:sz w:val="28"/>
          <w:szCs w:val="28"/>
        </w:rPr>
        <w:t>Названова, К.В. Механизмы управления инновационным развитием экономики на мезоуровне: социально-экономическая система «регион» как объект стратегического планирования</w:t>
      </w:r>
      <w:r w:rsidRPr="00C36631">
        <w:rPr>
          <w:rFonts w:ascii="Times New Roman" w:eastAsia="Calibri" w:hAnsi="Times New Roman" w:cs="Times New Roman"/>
          <w:sz w:val="28"/>
          <w:szCs w:val="28"/>
        </w:rPr>
        <w:t xml:space="preserve"> // Современные технологии управления. –</w:t>
      </w:r>
      <w:r>
        <w:rPr>
          <w:rFonts w:ascii="Times New Roman" w:eastAsia="Calibri" w:hAnsi="Times New Roman" w:cs="Times New Roman"/>
          <w:sz w:val="28"/>
          <w:szCs w:val="28"/>
        </w:rPr>
        <w:t xml:space="preserve"> </w:t>
      </w:r>
      <w:r w:rsidRPr="00C36631">
        <w:rPr>
          <w:rFonts w:ascii="Times New Roman" w:eastAsia="Calibri" w:hAnsi="Times New Roman" w:cs="Times New Roman"/>
          <w:sz w:val="28"/>
          <w:szCs w:val="28"/>
        </w:rPr>
        <w:t>2021. –</w:t>
      </w:r>
      <w:r>
        <w:rPr>
          <w:rFonts w:ascii="Times New Roman" w:eastAsia="Calibri" w:hAnsi="Times New Roman" w:cs="Times New Roman"/>
          <w:sz w:val="28"/>
          <w:szCs w:val="28"/>
        </w:rPr>
        <w:t xml:space="preserve"> </w:t>
      </w:r>
      <w:r w:rsidRPr="00C36631">
        <w:rPr>
          <w:rFonts w:ascii="Times New Roman" w:eastAsia="Calibri" w:hAnsi="Times New Roman" w:cs="Times New Roman"/>
          <w:sz w:val="28"/>
          <w:szCs w:val="28"/>
        </w:rPr>
        <w:t>№ 9</w:t>
      </w:r>
      <w:r>
        <w:rPr>
          <w:rFonts w:ascii="Times New Roman" w:eastAsia="Calibri" w:hAnsi="Times New Roman" w:cs="Times New Roman"/>
          <w:sz w:val="28"/>
          <w:szCs w:val="28"/>
        </w:rPr>
        <w:t xml:space="preserve"> </w:t>
      </w:r>
      <w:r w:rsidRPr="00C36631">
        <w:rPr>
          <w:rFonts w:ascii="Times New Roman" w:eastAsia="Calibri" w:hAnsi="Times New Roman" w:cs="Times New Roman"/>
          <w:sz w:val="28"/>
          <w:szCs w:val="28"/>
        </w:rPr>
        <w:t>(57). –</w:t>
      </w:r>
      <w:r>
        <w:rPr>
          <w:rFonts w:ascii="Times New Roman" w:eastAsia="Calibri" w:hAnsi="Times New Roman" w:cs="Times New Roman"/>
          <w:sz w:val="28"/>
          <w:szCs w:val="28"/>
        </w:rPr>
        <w:t xml:space="preserve"> </w:t>
      </w:r>
      <w:r w:rsidRPr="00C36631">
        <w:rPr>
          <w:rFonts w:ascii="Times New Roman" w:eastAsia="Calibri" w:hAnsi="Times New Roman" w:cs="Times New Roman"/>
          <w:sz w:val="28"/>
          <w:szCs w:val="28"/>
        </w:rPr>
        <w:t>С. 22-28.</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Налоговый кодекс Российской Федерации (ч</w:t>
      </w:r>
      <w:r>
        <w:rPr>
          <w:rFonts w:ascii="Times New Roman" w:eastAsia="Calibri" w:hAnsi="Times New Roman" w:cs="Times New Roman"/>
          <w:sz w:val="28"/>
          <w:szCs w:val="28"/>
        </w:rPr>
        <w:t>асть вторая)</w:t>
      </w:r>
      <w:r w:rsidRPr="00C36631">
        <w:rPr>
          <w:rFonts w:ascii="Times New Roman" w:eastAsia="Calibri" w:hAnsi="Times New Roman" w:cs="Times New Roman"/>
          <w:sz w:val="28"/>
          <w:szCs w:val="28"/>
        </w:rPr>
        <w:t xml:space="preserve"> от 05.08.2000 N 117-ФЗ (ред. от 29.05.2024) (с изм. и доп., вступ. в силу с 01.06.2024). Статья 427. «Пониженные тарифы страховых взносов» URL: https://www.consultant.ru/document/cons_doc_LAW_28165/c5c16c86f95c5db63601047b1c0a5942bd77c824/ (дата обращения: 04.05.2024).</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Налоговый кодекс Российской Федерации (часть первая)" от 31.07.1998 N 146-ФЗ (ред. от 28.12.2022) (с изм. и доп., вступ. в силу с 27.05.2024)</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Об утверждении Стратегии инновационного развития РФ на период до 2020 года. Распоряжение Правительства РФ от 08.12.2011 №2227-р (ред. от 18.10.2018) // Собрание законодательства РФ, 02.01.2012, №1, ст.216.</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Полетаев</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В.Э. Государство и бизнес в России: инновации и перспективы: монография / В.Э. Полетаев. - М.: ИНФРА-М, – 2020. – 282 с.</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Понкин</w:t>
      </w:r>
      <w:r>
        <w:rPr>
          <w:rFonts w:ascii="Times New Roman" w:eastAsia="Calibri" w:hAnsi="Times New Roman" w:cs="Times New Roman"/>
          <w:sz w:val="28"/>
          <w:szCs w:val="28"/>
        </w:rPr>
        <w:t>, И.В</w:t>
      </w:r>
      <w:r w:rsidRPr="00C36631">
        <w:rPr>
          <w:rFonts w:ascii="Times New Roman" w:eastAsia="Calibri" w:hAnsi="Times New Roman" w:cs="Times New Roman"/>
          <w:sz w:val="28"/>
          <w:szCs w:val="28"/>
        </w:rPr>
        <w:t>. Классификация как метод научного исследования // Вестник Пермского университета. Юридические науки. – 2022. – № 3. –  С. 249-259.</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Павлова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А.Ф. Роль институтов развития в поддержке инноваций // Современные вызовы экономики и управления в России в условиях многополярного мира: сборник статей и тезисов докладов Международной научно-практической конференции студентов, магистрантов, аспирантов и преподавателей вузов, Санкт-Петербург, 29 апреля 2021 г. Ч. 1. СПб.: ООО «Скифия-принт», 2021. С. 143—147.</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lastRenderedPageBreak/>
        <w:t>Пансков</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В.Г. Совершенствование амортизационной политики в контексте модернизации российской экономики // Финансы. – 2022. – № 11. – С. 27-31</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Пансков</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В.Г. Приоритеты налоговой политики и направления реформирования российской налоговой системы // ЭТАП: экономическая теория, анализ, практика. 2022. № 1. С. 57-76.</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Пансков</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В.Г. Новая амортизационная политика как инструмент налогового регулирования // Экономика и управление: проблемы, решения. 2021. Т. 4. № 4 (112). С. 35-41.</w:t>
      </w:r>
    </w:p>
    <w:p w:rsidR="001B6DE2" w:rsidRPr="00033D33"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color w:val="000000" w:themeColor="text1"/>
          <w:sz w:val="28"/>
          <w:szCs w:val="28"/>
        </w:rPr>
      </w:pPr>
      <w:r w:rsidRPr="00C36631">
        <w:rPr>
          <w:rFonts w:ascii="Times New Roman" w:eastAsia="Calibri" w:hAnsi="Times New Roman" w:cs="Times New Roman"/>
          <w:sz w:val="28"/>
          <w:szCs w:val="28"/>
        </w:rPr>
        <w:t>Приказ «Об утверждении методики расчета показателя «Уровень инновационной активности». Федеральная служба государственной статистики (РОССТАТ). [</w:t>
      </w:r>
      <w:r>
        <w:rPr>
          <w:rFonts w:ascii="Times New Roman" w:eastAsia="Calibri" w:hAnsi="Times New Roman" w:cs="Times New Roman"/>
          <w:sz w:val="28"/>
          <w:szCs w:val="28"/>
        </w:rPr>
        <w:t>Сайт</w:t>
      </w:r>
      <w:r w:rsidRPr="00C36631">
        <w:rPr>
          <w:rFonts w:ascii="Times New Roman" w:eastAsia="Calibri" w:hAnsi="Times New Roman" w:cs="Times New Roman"/>
          <w:sz w:val="28"/>
          <w:szCs w:val="28"/>
        </w:rPr>
        <w:t xml:space="preserve">] URL: </w:t>
      </w:r>
      <w:hyperlink r:id="rId21" w:history="1">
        <w:r w:rsidRPr="00033D33">
          <w:rPr>
            <w:rFonts w:ascii="Times New Roman" w:eastAsia="Calibri" w:hAnsi="Times New Roman" w:cs="Times New Roman"/>
            <w:color w:val="000000" w:themeColor="text1"/>
            <w:sz w:val="28"/>
            <w:szCs w:val="28"/>
          </w:rPr>
          <w:t>https://rosstat.gov.ru/storage/mediabank/pr818-27122019.pdf</w:t>
        </w:r>
      </w:hyperlink>
      <w:r w:rsidRPr="00033D33">
        <w:rPr>
          <w:rFonts w:ascii="Times New Roman" w:eastAsia="Calibri" w:hAnsi="Times New Roman" w:cs="Times New Roman"/>
          <w:color w:val="000000" w:themeColor="text1"/>
          <w:sz w:val="28"/>
          <w:szCs w:val="28"/>
        </w:rPr>
        <w:t xml:space="preserve"> (дата обращения: 10.03.2024).</w:t>
      </w:r>
    </w:p>
    <w:p w:rsidR="001B6DE2" w:rsidRPr="00033D33"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color w:val="000000" w:themeColor="text1"/>
          <w:sz w:val="28"/>
          <w:szCs w:val="28"/>
        </w:rPr>
      </w:pPr>
      <w:r w:rsidRPr="00033D33">
        <w:rPr>
          <w:rFonts w:ascii="Times New Roman" w:eastAsia="Calibri" w:hAnsi="Times New Roman" w:cs="Times New Roman"/>
          <w:color w:val="000000" w:themeColor="text1"/>
          <w:sz w:val="28"/>
          <w:szCs w:val="28"/>
        </w:rPr>
        <w:t>Программа «СТАРТ» Фонда содействия инноваций [</w:t>
      </w:r>
      <w:r>
        <w:rPr>
          <w:rFonts w:ascii="Times New Roman" w:eastAsia="Calibri" w:hAnsi="Times New Roman" w:cs="Times New Roman"/>
          <w:color w:val="000000" w:themeColor="text1"/>
          <w:sz w:val="28"/>
          <w:szCs w:val="28"/>
        </w:rPr>
        <w:t>Сайт</w:t>
      </w:r>
      <w:r w:rsidRPr="00033D33">
        <w:rPr>
          <w:rFonts w:ascii="Times New Roman" w:eastAsia="Calibri" w:hAnsi="Times New Roman" w:cs="Times New Roman"/>
          <w:color w:val="000000" w:themeColor="text1"/>
          <w:sz w:val="28"/>
          <w:szCs w:val="28"/>
        </w:rPr>
        <w:t xml:space="preserve">] </w:t>
      </w:r>
      <w:r w:rsidRPr="00033D33">
        <w:rPr>
          <w:rFonts w:ascii="Times New Roman" w:eastAsia="Calibri" w:hAnsi="Times New Roman" w:cs="Times New Roman"/>
          <w:color w:val="000000" w:themeColor="text1"/>
          <w:sz w:val="28"/>
          <w:szCs w:val="28"/>
          <w:lang w:val="en-US"/>
        </w:rPr>
        <w:t>URL</w:t>
      </w:r>
      <w:r w:rsidRPr="00033D33">
        <w:rPr>
          <w:rFonts w:ascii="Times New Roman" w:eastAsia="Calibri" w:hAnsi="Times New Roman" w:cs="Times New Roman"/>
          <w:color w:val="000000" w:themeColor="text1"/>
          <w:sz w:val="28"/>
          <w:szCs w:val="28"/>
        </w:rPr>
        <w:t xml:space="preserve">: </w:t>
      </w:r>
      <w:hyperlink r:id="rId22" w:history="1">
        <w:r w:rsidRPr="00033D33">
          <w:rPr>
            <w:rStyle w:val="af0"/>
            <w:rFonts w:ascii="Times New Roman" w:eastAsia="Calibri" w:hAnsi="Times New Roman" w:cs="Times New Roman"/>
            <w:color w:val="000000" w:themeColor="text1"/>
            <w:sz w:val="28"/>
            <w:szCs w:val="28"/>
            <w:u w:val="none"/>
            <w:lang w:val="en-US"/>
          </w:rPr>
          <w:t>https</w:t>
        </w:r>
        <w:r w:rsidRPr="00033D33">
          <w:rPr>
            <w:rStyle w:val="af0"/>
            <w:rFonts w:ascii="Times New Roman" w:eastAsia="Calibri" w:hAnsi="Times New Roman" w:cs="Times New Roman"/>
            <w:color w:val="000000" w:themeColor="text1"/>
            <w:sz w:val="28"/>
            <w:szCs w:val="28"/>
            <w:u w:val="none"/>
          </w:rPr>
          <w:t>://</w:t>
        </w:r>
        <w:r w:rsidRPr="00033D33">
          <w:rPr>
            <w:rStyle w:val="af0"/>
            <w:rFonts w:ascii="Times New Roman" w:eastAsia="Calibri" w:hAnsi="Times New Roman" w:cs="Times New Roman"/>
            <w:color w:val="000000" w:themeColor="text1"/>
            <w:sz w:val="28"/>
            <w:szCs w:val="28"/>
            <w:u w:val="none"/>
            <w:lang w:val="en-US"/>
          </w:rPr>
          <w:t>www</w:t>
        </w:r>
        <w:r w:rsidRPr="00033D33">
          <w:rPr>
            <w:rStyle w:val="af0"/>
            <w:rFonts w:ascii="Times New Roman" w:eastAsia="Calibri" w:hAnsi="Times New Roman" w:cs="Times New Roman"/>
            <w:color w:val="000000" w:themeColor="text1"/>
            <w:sz w:val="28"/>
            <w:szCs w:val="28"/>
            <w:u w:val="none"/>
          </w:rPr>
          <w:t>.</w:t>
        </w:r>
        <w:r w:rsidRPr="00033D33">
          <w:rPr>
            <w:rStyle w:val="af0"/>
            <w:rFonts w:ascii="Times New Roman" w:eastAsia="Calibri" w:hAnsi="Times New Roman" w:cs="Times New Roman"/>
            <w:color w:val="000000" w:themeColor="text1"/>
            <w:sz w:val="28"/>
            <w:szCs w:val="28"/>
            <w:u w:val="none"/>
            <w:lang w:val="en-US"/>
          </w:rPr>
          <w:t>fasie</w:t>
        </w:r>
        <w:r w:rsidRPr="00033D33">
          <w:rPr>
            <w:rStyle w:val="af0"/>
            <w:rFonts w:ascii="Times New Roman" w:eastAsia="Calibri" w:hAnsi="Times New Roman" w:cs="Times New Roman"/>
            <w:color w:val="000000" w:themeColor="text1"/>
            <w:sz w:val="28"/>
            <w:szCs w:val="28"/>
            <w:u w:val="none"/>
          </w:rPr>
          <w:t>.</w:t>
        </w:r>
        <w:r w:rsidRPr="00033D33">
          <w:rPr>
            <w:rStyle w:val="af0"/>
            <w:rFonts w:ascii="Times New Roman" w:eastAsia="Calibri" w:hAnsi="Times New Roman" w:cs="Times New Roman"/>
            <w:color w:val="000000" w:themeColor="text1"/>
            <w:sz w:val="28"/>
            <w:szCs w:val="28"/>
            <w:u w:val="none"/>
            <w:lang w:val="en-US"/>
          </w:rPr>
          <w:t>ru</w:t>
        </w:r>
        <w:r w:rsidRPr="00033D33">
          <w:rPr>
            <w:rStyle w:val="af0"/>
            <w:rFonts w:ascii="Times New Roman" w:eastAsia="Calibri" w:hAnsi="Times New Roman" w:cs="Times New Roman"/>
            <w:color w:val="000000" w:themeColor="text1"/>
            <w:sz w:val="28"/>
            <w:szCs w:val="28"/>
            <w:u w:val="none"/>
          </w:rPr>
          <w:t>/</w:t>
        </w:r>
        <w:r w:rsidRPr="00033D33">
          <w:rPr>
            <w:rStyle w:val="af0"/>
            <w:rFonts w:ascii="Times New Roman" w:eastAsia="Calibri" w:hAnsi="Times New Roman" w:cs="Times New Roman"/>
            <w:color w:val="000000" w:themeColor="text1"/>
            <w:sz w:val="28"/>
            <w:szCs w:val="28"/>
            <w:u w:val="none"/>
            <w:lang w:val="en-US"/>
          </w:rPr>
          <w:t>programs</w:t>
        </w:r>
        <w:r w:rsidRPr="00033D33">
          <w:rPr>
            <w:rStyle w:val="af0"/>
            <w:rFonts w:ascii="Times New Roman" w:eastAsia="Calibri" w:hAnsi="Times New Roman" w:cs="Times New Roman"/>
            <w:color w:val="000000" w:themeColor="text1"/>
            <w:sz w:val="28"/>
            <w:szCs w:val="28"/>
            <w:u w:val="none"/>
          </w:rPr>
          <w:t>/</w:t>
        </w:r>
        <w:r w:rsidRPr="00033D33">
          <w:rPr>
            <w:rStyle w:val="af0"/>
            <w:rFonts w:ascii="Times New Roman" w:eastAsia="Calibri" w:hAnsi="Times New Roman" w:cs="Times New Roman"/>
            <w:color w:val="000000" w:themeColor="text1"/>
            <w:sz w:val="28"/>
            <w:szCs w:val="28"/>
            <w:u w:val="none"/>
            <w:lang w:val="en-US"/>
          </w:rPr>
          <w:t>programma</w:t>
        </w:r>
        <w:r w:rsidRPr="00033D33">
          <w:rPr>
            <w:rStyle w:val="af0"/>
            <w:rFonts w:ascii="Times New Roman" w:eastAsia="Calibri" w:hAnsi="Times New Roman" w:cs="Times New Roman"/>
            <w:color w:val="000000" w:themeColor="text1"/>
            <w:sz w:val="28"/>
            <w:szCs w:val="28"/>
            <w:u w:val="none"/>
          </w:rPr>
          <w:t>-</w:t>
        </w:r>
        <w:r w:rsidRPr="00033D33">
          <w:rPr>
            <w:rStyle w:val="af0"/>
            <w:rFonts w:ascii="Times New Roman" w:eastAsia="Calibri" w:hAnsi="Times New Roman" w:cs="Times New Roman"/>
            <w:color w:val="000000" w:themeColor="text1"/>
            <w:sz w:val="28"/>
            <w:szCs w:val="28"/>
            <w:u w:val="none"/>
            <w:lang w:val="en-US"/>
          </w:rPr>
          <w:t>start</w:t>
        </w:r>
        <w:r w:rsidRPr="00033D33">
          <w:rPr>
            <w:rStyle w:val="af0"/>
            <w:rFonts w:ascii="Times New Roman" w:eastAsia="Calibri" w:hAnsi="Times New Roman" w:cs="Times New Roman"/>
            <w:color w:val="000000" w:themeColor="text1"/>
            <w:sz w:val="28"/>
            <w:szCs w:val="28"/>
            <w:u w:val="none"/>
          </w:rPr>
          <w:t>/</w:t>
        </w:r>
      </w:hyperlink>
      <w:r w:rsidRPr="00033D33">
        <w:rPr>
          <w:rFonts w:ascii="Times New Roman" w:eastAsia="Calibri" w:hAnsi="Times New Roman" w:cs="Times New Roman"/>
          <w:color w:val="000000" w:themeColor="text1"/>
          <w:sz w:val="28"/>
          <w:szCs w:val="28"/>
        </w:rPr>
        <w:t xml:space="preserve"> (дата обращения: 27.02.2024).</w:t>
      </w:r>
    </w:p>
    <w:p w:rsidR="001B6DE2" w:rsidRPr="00033D33"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color w:val="000000" w:themeColor="text1"/>
          <w:sz w:val="28"/>
          <w:szCs w:val="28"/>
        </w:rPr>
      </w:pPr>
      <w:r w:rsidRPr="00033D33">
        <w:rPr>
          <w:rFonts w:ascii="Times New Roman" w:eastAsia="Calibri" w:hAnsi="Times New Roman" w:cs="Times New Roman"/>
          <w:color w:val="000000" w:themeColor="text1"/>
          <w:sz w:val="28"/>
          <w:szCs w:val="28"/>
        </w:rPr>
        <w:t>Программа «РАЗВИТИЕ» Фонда содействия инноваций [</w:t>
      </w:r>
      <w:r>
        <w:rPr>
          <w:rFonts w:ascii="Times New Roman" w:eastAsia="Calibri" w:hAnsi="Times New Roman" w:cs="Times New Roman"/>
          <w:color w:val="000000" w:themeColor="text1"/>
          <w:sz w:val="28"/>
          <w:szCs w:val="28"/>
        </w:rPr>
        <w:t>Сайт</w:t>
      </w:r>
      <w:r w:rsidRPr="00033D33">
        <w:rPr>
          <w:rFonts w:ascii="Times New Roman" w:eastAsia="Calibri" w:hAnsi="Times New Roman" w:cs="Times New Roman"/>
          <w:color w:val="000000" w:themeColor="text1"/>
          <w:sz w:val="28"/>
          <w:szCs w:val="28"/>
        </w:rPr>
        <w:t xml:space="preserve">] URL: </w:t>
      </w:r>
      <w:r w:rsidRPr="00033D33">
        <w:rPr>
          <w:rStyle w:val="af0"/>
          <w:rFonts w:ascii="Times New Roman" w:eastAsia="Calibri" w:hAnsi="Times New Roman" w:cs="Times New Roman"/>
          <w:color w:val="000000" w:themeColor="text1"/>
          <w:sz w:val="28"/>
          <w:szCs w:val="28"/>
          <w:u w:val="none"/>
        </w:rPr>
        <w:t>https://www.fasie.ru/programs/programma-razvitie/</w:t>
      </w:r>
      <w:r w:rsidRPr="00033D33">
        <w:rPr>
          <w:rFonts w:ascii="Times New Roman" w:eastAsia="Calibri" w:hAnsi="Times New Roman" w:cs="Times New Roman"/>
          <w:color w:val="000000" w:themeColor="text1"/>
          <w:sz w:val="28"/>
          <w:szCs w:val="28"/>
        </w:rPr>
        <w:t xml:space="preserve"> (дата обращения: 27.02.2024).</w:t>
      </w:r>
    </w:p>
    <w:p w:rsidR="001B6DE2" w:rsidRPr="00033D33"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color w:val="000000" w:themeColor="text1"/>
          <w:sz w:val="28"/>
          <w:szCs w:val="28"/>
        </w:rPr>
      </w:pPr>
      <w:r w:rsidRPr="00033D33">
        <w:rPr>
          <w:rFonts w:ascii="Times New Roman" w:eastAsia="Calibri" w:hAnsi="Times New Roman" w:cs="Times New Roman"/>
          <w:color w:val="000000" w:themeColor="text1"/>
          <w:sz w:val="28"/>
          <w:szCs w:val="28"/>
        </w:rPr>
        <w:t>Программа «КОММЕРЦИАЛИЗАЦИЯ» Фонда содействия инноваций [</w:t>
      </w:r>
      <w:r>
        <w:rPr>
          <w:rFonts w:ascii="Times New Roman" w:eastAsia="Calibri" w:hAnsi="Times New Roman" w:cs="Times New Roman"/>
          <w:color w:val="000000" w:themeColor="text1"/>
          <w:sz w:val="28"/>
          <w:szCs w:val="28"/>
        </w:rPr>
        <w:t>Сайт</w:t>
      </w:r>
      <w:r w:rsidRPr="00033D33">
        <w:rPr>
          <w:rFonts w:ascii="Times New Roman" w:eastAsia="Calibri" w:hAnsi="Times New Roman" w:cs="Times New Roman"/>
          <w:color w:val="000000" w:themeColor="text1"/>
          <w:sz w:val="28"/>
          <w:szCs w:val="28"/>
        </w:rPr>
        <w:t xml:space="preserve">] URL: </w:t>
      </w:r>
      <w:r w:rsidRPr="00033D33">
        <w:rPr>
          <w:rStyle w:val="af0"/>
          <w:rFonts w:ascii="Times New Roman" w:eastAsia="Calibri" w:hAnsi="Times New Roman" w:cs="Times New Roman"/>
          <w:color w:val="000000" w:themeColor="text1"/>
          <w:sz w:val="28"/>
          <w:szCs w:val="28"/>
          <w:u w:val="none"/>
        </w:rPr>
        <w:t>https://fasie.ru/programs/programma-kommertsializatsiya/</w:t>
      </w:r>
      <w:r w:rsidRPr="00033D33">
        <w:rPr>
          <w:rFonts w:ascii="Times New Roman" w:eastAsia="Calibri" w:hAnsi="Times New Roman" w:cs="Times New Roman"/>
          <w:color w:val="000000" w:themeColor="text1"/>
          <w:sz w:val="28"/>
          <w:szCs w:val="28"/>
        </w:rPr>
        <w:t xml:space="preserve"> (дата обращения: 27.02.2024).</w:t>
      </w:r>
    </w:p>
    <w:p w:rsidR="001B6DE2" w:rsidRPr="00033D33"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color w:val="000000" w:themeColor="text1"/>
          <w:sz w:val="28"/>
          <w:szCs w:val="28"/>
        </w:rPr>
      </w:pPr>
      <w:r w:rsidRPr="00033D33">
        <w:rPr>
          <w:rFonts w:ascii="Times New Roman" w:eastAsia="Calibri" w:hAnsi="Times New Roman" w:cs="Times New Roman"/>
          <w:color w:val="000000" w:themeColor="text1"/>
          <w:sz w:val="28"/>
          <w:szCs w:val="28"/>
        </w:rPr>
        <w:t>Программа «ИНТЕРНАЦИОНАЛИЗАЦИЯ» Фонда содействия инноваций [</w:t>
      </w:r>
      <w:r>
        <w:rPr>
          <w:rFonts w:ascii="Times New Roman" w:eastAsia="Calibri" w:hAnsi="Times New Roman" w:cs="Times New Roman"/>
          <w:color w:val="000000" w:themeColor="text1"/>
          <w:sz w:val="28"/>
          <w:szCs w:val="28"/>
        </w:rPr>
        <w:t>Сайт</w:t>
      </w:r>
      <w:r w:rsidRPr="00033D33">
        <w:rPr>
          <w:rFonts w:ascii="Times New Roman" w:eastAsia="Calibri" w:hAnsi="Times New Roman" w:cs="Times New Roman"/>
          <w:color w:val="000000" w:themeColor="text1"/>
          <w:sz w:val="28"/>
          <w:szCs w:val="28"/>
        </w:rPr>
        <w:t xml:space="preserve">] URL: </w:t>
      </w:r>
      <w:r w:rsidRPr="00033D33">
        <w:rPr>
          <w:rStyle w:val="af0"/>
          <w:rFonts w:ascii="Times New Roman" w:eastAsia="Calibri" w:hAnsi="Times New Roman" w:cs="Times New Roman"/>
          <w:color w:val="000000" w:themeColor="text1"/>
          <w:sz w:val="28"/>
          <w:szCs w:val="28"/>
          <w:u w:val="none"/>
        </w:rPr>
        <w:t>https://fasie.ru/programs/programma-internatsionalizatsiya/</w:t>
      </w:r>
      <w:r w:rsidRPr="00033D33">
        <w:rPr>
          <w:rFonts w:ascii="Times New Roman" w:eastAsia="Calibri" w:hAnsi="Times New Roman" w:cs="Times New Roman"/>
          <w:color w:val="000000" w:themeColor="text1"/>
          <w:sz w:val="28"/>
          <w:szCs w:val="28"/>
        </w:rPr>
        <w:t xml:space="preserve"> (дата обращения: 27.02.2024).</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033D33">
        <w:rPr>
          <w:rFonts w:ascii="Times New Roman" w:eastAsia="Calibri" w:hAnsi="Times New Roman" w:cs="Times New Roman"/>
          <w:color w:val="000000" w:themeColor="text1"/>
          <w:sz w:val="28"/>
          <w:szCs w:val="28"/>
        </w:rPr>
        <w:t>Покачалова</w:t>
      </w:r>
      <w:r>
        <w:rPr>
          <w:rFonts w:ascii="Times New Roman" w:eastAsia="Calibri" w:hAnsi="Times New Roman" w:cs="Times New Roman"/>
          <w:color w:val="000000" w:themeColor="text1"/>
          <w:sz w:val="28"/>
          <w:szCs w:val="28"/>
        </w:rPr>
        <w:t>,</w:t>
      </w:r>
      <w:r w:rsidRPr="00033D33">
        <w:rPr>
          <w:rFonts w:ascii="Times New Roman" w:eastAsia="Calibri" w:hAnsi="Times New Roman" w:cs="Times New Roman"/>
          <w:color w:val="000000" w:themeColor="text1"/>
          <w:sz w:val="28"/>
          <w:szCs w:val="28"/>
        </w:rPr>
        <w:t xml:space="preserve"> Е. В. Финансово-правовая политика России в сфере государственного долга в условиях глобализации экономики // Юридич</w:t>
      </w:r>
      <w:r w:rsidRPr="00C36631">
        <w:rPr>
          <w:rFonts w:ascii="Times New Roman" w:eastAsia="Calibri" w:hAnsi="Times New Roman" w:cs="Times New Roman"/>
          <w:sz w:val="28"/>
          <w:szCs w:val="28"/>
        </w:rPr>
        <w:t>еский вестник Ростовского государственного экономического университета. –  2021. – Т.2. – №34. – С. 17.</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lastRenderedPageBreak/>
        <w:t>Пинская</w:t>
      </w:r>
      <w:r>
        <w:rPr>
          <w:rFonts w:ascii="Times New Roman" w:eastAsia="Calibri" w:hAnsi="Times New Roman" w:cs="Times New Roman"/>
          <w:sz w:val="28"/>
          <w:szCs w:val="28"/>
        </w:rPr>
        <w:t>, М. Р</w:t>
      </w:r>
      <w:r w:rsidRPr="00C36631">
        <w:rPr>
          <w:rFonts w:ascii="Times New Roman" w:eastAsia="Calibri" w:hAnsi="Times New Roman" w:cs="Times New Roman"/>
          <w:sz w:val="28"/>
          <w:szCs w:val="28"/>
        </w:rPr>
        <w:t xml:space="preserve">. Подходы к налоговому стимулированию развития инновационной деятельности. Инновационное развитие экономики. – 2022. – №69-70(3-4) – С.246-255. </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Пивоварова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Н. В. Роль налогообложения в стимулировании инвестиционной деятельности в России. Управленческий учет. – 2022. – № (3-1). – С.111-118</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Пансков</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В. Г. Новая амортизационная политика как инструмент налогового регулирования. Экономика и управление: проблемы, решения. – 2021. – №112(4) –  С. 35-41.</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Распоряжение Правительства РФ от 20 мая 2023 г. № 1315-р «Об утверждении Концепции технологического развития на период до 2030 года» // URL: https://www.consultant.ru/document/cons_doc_LAW_447895/ (дата обращения: 16.05.2024).</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Распоряжение Правительства РФ от 17.11.2008 № 1662-р (ред. от 28.09.2018) «О Концепции долгосрочного социально-экономического развития Российской Федерации на период до 2020 года» URL: http://www.consultant.ru/ document/cons_doc_LAW_82134/ (Дата обращения: 21.05.2024).</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Распоряжение Правительства РФ от 5 февраля 2021 г. № 241-р «Об утверждении перечня федеральных институтов инновационного развития» (ред. от 23 января 2023 г.) // URL: https://www.consultant.ru/document/cons_ doc_LAW_376333/f62ee45faefd8e2a11d6d88941a cбб824f848bc27 (дата обращения: 18.05.2024).</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Распоряжение Правительства РФ от 08.12.2011 № 2227-р (ред. от 18.10.2018) «Об утверждении Стратегии инновационного развития Российской Федерации на период до 2020 года» URL: http://www.consultant.ru/document/ cons_doc_LAW_123444/2f806c88991ebbad43cdaa1c63c2501dc94c14af/ (Дата обращения: 21.09.2023).</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lastRenderedPageBreak/>
        <w:t>Самохвалова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К. В. Зарубежный опыт подоходного налогообложения // Налоги и налогообложение. – 2021. –  №5. – С. 85</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Солянникова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С.П. Надлежащая бюджетная политика для меняющейся экономии-ки // Мир новой экономики. – 2021. – Т. 15. –  № 2. –  С. 6-15.</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Соловей</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О. В. Инновационные формы взаимодействия в системе «образование-наука-бизнес»: преимущества и недостатки // Экономика образования. 2021 . № 5 . С. 37-46.</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Субботина</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Л. В. Оценка инвестиционной привлекательности территорий: отечественная наука и практика / Л. В. Субботина, С. Г. Головина //Научное обозрение. – 2015. – № 3. – С. 226-235. </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Смирнов</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Д. А. Особенности налогообложения на территориях со специальным режимом предпринимательской и инвестиционной деятельности // Развитие научных идей профессора Н.И. Химичевой в современной доктрине финансового права: сборник научных трудов по материалам Международной научно-практической конференции. Саратов: СГЮА, – 2022. –  С. 218.</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Терещенко</w:t>
      </w:r>
      <w:r>
        <w:rPr>
          <w:rFonts w:ascii="Times New Roman" w:eastAsia="Calibri" w:hAnsi="Times New Roman" w:cs="Times New Roman"/>
          <w:sz w:val="28"/>
          <w:szCs w:val="28"/>
        </w:rPr>
        <w:t>, Л.К.</w:t>
      </w:r>
      <w:r w:rsidRPr="00C36631">
        <w:rPr>
          <w:rFonts w:ascii="Times New Roman" w:eastAsia="Calibri" w:hAnsi="Times New Roman" w:cs="Times New Roman"/>
          <w:sz w:val="28"/>
          <w:szCs w:val="28"/>
        </w:rPr>
        <w:t xml:space="preserve"> Технопарки в инфраструктуре инновационного развития: монография // Институт законодательства и сравнительного правоведения при Правительстве РФ: ИНФРА-М, – 2020. – С. 246</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Тютюрюков</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Н. Н., Тернопольская Г. Б., Тютюрюков В. Н. Налоговые льготы и преференции: цель одна, а механизм - разный// Налоговая политика и практика. – 2021. – №10. – С. 69.</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Указ Президента РФ от 7 мая 2018 г. № 204 «О национальных целях и стратегических задачах развития Российской Федерации на период до 2024 года» // URL: http://www.kremlin.ru/acts/bank/43027 (дата обращения: 16.11.2023).</w:t>
      </w:r>
    </w:p>
    <w:p w:rsidR="001B6DE2" w:rsidRPr="0017355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color w:val="000000" w:themeColor="text1"/>
          <w:sz w:val="28"/>
          <w:szCs w:val="28"/>
        </w:rPr>
      </w:pPr>
      <w:r w:rsidRPr="00173551">
        <w:rPr>
          <w:rFonts w:ascii="Times New Roman" w:eastAsia="Calibri" w:hAnsi="Times New Roman" w:cs="Times New Roman"/>
          <w:color w:val="000000" w:themeColor="text1"/>
          <w:sz w:val="28"/>
          <w:szCs w:val="28"/>
        </w:rPr>
        <w:t>О Стратегии научно-технологического развития Российской Федерации: Указ Президента Российской Федерации № 642 от 1 декабря 2016 г. // URL: http://www.kremlin.ru/acts/bank/41449 (дата обращения: 16.11.2023).</w:t>
      </w:r>
    </w:p>
    <w:p w:rsidR="001B6DE2" w:rsidRPr="0017355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color w:val="000000" w:themeColor="text1"/>
          <w:sz w:val="28"/>
          <w:szCs w:val="28"/>
        </w:rPr>
      </w:pPr>
      <w:r w:rsidRPr="00173551">
        <w:rPr>
          <w:rFonts w:ascii="Times New Roman" w:eastAsia="Calibri" w:hAnsi="Times New Roman" w:cs="Times New Roman"/>
          <w:color w:val="000000" w:themeColor="text1"/>
          <w:sz w:val="28"/>
          <w:szCs w:val="28"/>
        </w:rPr>
        <w:lastRenderedPageBreak/>
        <w:t xml:space="preserve">Фонд Содействия Инновациям // Официальный сайт. </w:t>
      </w:r>
      <w:r w:rsidRPr="00173551">
        <w:rPr>
          <w:rFonts w:ascii="Times New Roman" w:eastAsia="Calibri" w:hAnsi="Times New Roman" w:cs="Times New Roman"/>
          <w:color w:val="000000" w:themeColor="text1"/>
          <w:sz w:val="28"/>
          <w:szCs w:val="28"/>
          <w:lang w:val="en-US"/>
        </w:rPr>
        <w:t>URL</w:t>
      </w:r>
      <w:r w:rsidRPr="00173551">
        <w:rPr>
          <w:rFonts w:ascii="Times New Roman" w:eastAsia="Calibri" w:hAnsi="Times New Roman" w:cs="Times New Roman"/>
          <w:color w:val="000000" w:themeColor="text1"/>
          <w:sz w:val="28"/>
          <w:szCs w:val="28"/>
        </w:rPr>
        <w:t xml:space="preserve">: </w:t>
      </w:r>
      <w:r w:rsidRPr="00173551">
        <w:rPr>
          <w:rStyle w:val="af0"/>
          <w:rFonts w:ascii="Times New Roman" w:eastAsia="Calibri" w:hAnsi="Times New Roman" w:cs="Times New Roman"/>
          <w:color w:val="000000" w:themeColor="text1"/>
          <w:sz w:val="28"/>
          <w:szCs w:val="28"/>
          <w:u w:val="none"/>
          <w:lang w:val="en-US"/>
        </w:rPr>
        <w:t>https</w:t>
      </w:r>
      <w:r w:rsidRPr="00173551">
        <w:rPr>
          <w:rStyle w:val="af0"/>
          <w:rFonts w:ascii="Times New Roman" w:eastAsia="Calibri" w:hAnsi="Times New Roman" w:cs="Times New Roman"/>
          <w:color w:val="000000" w:themeColor="text1"/>
          <w:sz w:val="28"/>
          <w:szCs w:val="28"/>
          <w:u w:val="none"/>
        </w:rPr>
        <w:t>://</w:t>
      </w:r>
      <w:r w:rsidRPr="00173551">
        <w:rPr>
          <w:rStyle w:val="af0"/>
          <w:rFonts w:ascii="Times New Roman" w:eastAsia="Calibri" w:hAnsi="Times New Roman" w:cs="Times New Roman"/>
          <w:color w:val="000000" w:themeColor="text1"/>
          <w:sz w:val="28"/>
          <w:szCs w:val="28"/>
          <w:u w:val="none"/>
          <w:lang w:val="en-US"/>
        </w:rPr>
        <w:t>fasie</w:t>
      </w:r>
      <w:r w:rsidRPr="00173551">
        <w:rPr>
          <w:rStyle w:val="af0"/>
          <w:rFonts w:ascii="Times New Roman" w:eastAsia="Calibri" w:hAnsi="Times New Roman" w:cs="Times New Roman"/>
          <w:color w:val="000000" w:themeColor="text1"/>
          <w:sz w:val="28"/>
          <w:szCs w:val="28"/>
          <w:u w:val="none"/>
        </w:rPr>
        <w:t>.</w:t>
      </w:r>
      <w:r w:rsidRPr="00173551">
        <w:rPr>
          <w:rStyle w:val="af0"/>
          <w:rFonts w:ascii="Times New Roman" w:eastAsia="Calibri" w:hAnsi="Times New Roman" w:cs="Times New Roman"/>
          <w:color w:val="000000" w:themeColor="text1"/>
          <w:sz w:val="28"/>
          <w:szCs w:val="28"/>
          <w:u w:val="none"/>
          <w:lang w:val="en-US"/>
        </w:rPr>
        <w:t>ru</w:t>
      </w:r>
      <w:r w:rsidRPr="00173551">
        <w:rPr>
          <w:rStyle w:val="af0"/>
          <w:rFonts w:ascii="Times New Roman" w:eastAsia="Calibri" w:hAnsi="Times New Roman" w:cs="Times New Roman"/>
          <w:color w:val="000000" w:themeColor="text1"/>
          <w:sz w:val="28"/>
          <w:szCs w:val="28"/>
          <w:u w:val="none"/>
        </w:rPr>
        <w:t>/</w:t>
      </w:r>
      <w:r w:rsidRPr="00173551">
        <w:rPr>
          <w:rFonts w:ascii="Times New Roman" w:eastAsia="Calibri" w:hAnsi="Times New Roman" w:cs="Times New Roman"/>
          <w:color w:val="000000" w:themeColor="text1"/>
          <w:sz w:val="28"/>
          <w:szCs w:val="28"/>
        </w:rPr>
        <w:t xml:space="preserve"> (дата обращения: 13.02.2024).</w:t>
      </w:r>
    </w:p>
    <w:p w:rsidR="001B6DE2" w:rsidRPr="0017355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color w:val="000000" w:themeColor="text1"/>
          <w:sz w:val="28"/>
          <w:szCs w:val="28"/>
        </w:rPr>
      </w:pPr>
      <w:r w:rsidRPr="00173551">
        <w:rPr>
          <w:rFonts w:ascii="Times New Roman" w:eastAsia="Calibri" w:hAnsi="Times New Roman" w:cs="Times New Roman"/>
          <w:color w:val="000000" w:themeColor="text1"/>
          <w:sz w:val="28"/>
          <w:szCs w:val="28"/>
        </w:rPr>
        <w:t xml:space="preserve">Фонд Развития Промышленности. СПИК [Сайт] URL: </w:t>
      </w:r>
      <w:r w:rsidRPr="00173551">
        <w:rPr>
          <w:rStyle w:val="af0"/>
          <w:rFonts w:ascii="Times New Roman" w:eastAsia="Calibri" w:hAnsi="Times New Roman" w:cs="Times New Roman"/>
          <w:color w:val="000000" w:themeColor="text1"/>
          <w:sz w:val="28"/>
          <w:szCs w:val="28"/>
          <w:u w:val="none"/>
        </w:rPr>
        <w:t>https://frprf.ru/navigator-gospodderzhky/spik_main/</w:t>
      </w:r>
      <w:r w:rsidRPr="00173551">
        <w:rPr>
          <w:rFonts w:ascii="Times New Roman" w:eastAsia="Calibri" w:hAnsi="Times New Roman" w:cs="Times New Roman"/>
          <w:color w:val="000000" w:themeColor="text1"/>
          <w:sz w:val="28"/>
          <w:szCs w:val="28"/>
        </w:rPr>
        <w:t xml:space="preserve"> (дата обращения: 24.03.2024).</w:t>
      </w:r>
    </w:p>
    <w:p w:rsidR="001B6DE2" w:rsidRPr="0017355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color w:val="000000" w:themeColor="text1"/>
          <w:sz w:val="28"/>
          <w:szCs w:val="28"/>
        </w:rPr>
      </w:pPr>
      <w:r w:rsidRPr="00173551">
        <w:rPr>
          <w:rFonts w:ascii="Times New Roman" w:eastAsia="Calibri" w:hAnsi="Times New Roman" w:cs="Times New Roman"/>
          <w:color w:val="000000" w:themeColor="text1"/>
          <w:sz w:val="28"/>
          <w:szCs w:val="28"/>
        </w:rPr>
        <w:t xml:space="preserve">Федеральная служба государственной статистики. </w:t>
      </w:r>
      <w:r w:rsidRPr="00173551">
        <w:rPr>
          <w:rFonts w:ascii="Times New Roman" w:eastAsia="Calibri" w:hAnsi="Times New Roman" w:cs="Times New Roman"/>
          <w:color w:val="000000" w:themeColor="text1"/>
          <w:sz w:val="28"/>
          <w:szCs w:val="28"/>
          <w:lang w:val="en-US"/>
        </w:rPr>
        <w:t>URL</w:t>
      </w:r>
      <w:r w:rsidRPr="00173551">
        <w:rPr>
          <w:rFonts w:ascii="Times New Roman" w:eastAsia="Calibri" w:hAnsi="Times New Roman" w:cs="Times New Roman"/>
          <w:color w:val="000000" w:themeColor="text1"/>
          <w:sz w:val="28"/>
          <w:szCs w:val="28"/>
        </w:rPr>
        <w:t xml:space="preserve">: </w:t>
      </w:r>
      <w:r w:rsidRPr="00173551">
        <w:rPr>
          <w:rStyle w:val="af0"/>
          <w:rFonts w:ascii="Times New Roman" w:eastAsia="Calibri" w:hAnsi="Times New Roman" w:cs="Times New Roman"/>
          <w:color w:val="000000" w:themeColor="text1"/>
          <w:sz w:val="28"/>
          <w:szCs w:val="28"/>
          <w:u w:val="none"/>
          <w:lang w:val="en-US"/>
        </w:rPr>
        <w:t>https</w:t>
      </w:r>
      <w:r w:rsidRPr="00173551">
        <w:rPr>
          <w:rStyle w:val="af0"/>
          <w:rFonts w:ascii="Times New Roman" w:eastAsia="Calibri" w:hAnsi="Times New Roman" w:cs="Times New Roman"/>
          <w:color w:val="000000" w:themeColor="text1"/>
          <w:sz w:val="28"/>
          <w:szCs w:val="28"/>
          <w:u w:val="none"/>
        </w:rPr>
        <w:t>://</w:t>
      </w:r>
      <w:r w:rsidRPr="00173551">
        <w:rPr>
          <w:rStyle w:val="af0"/>
          <w:rFonts w:ascii="Times New Roman" w:eastAsia="Calibri" w:hAnsi="Times New Roman" w:cs="Times New Roman"/>
          <w:color w:val="000000" w:themeColor="text1"/>
          <w:sz w:val="28"/>
          <w:szCs w:val="28"/>
          <w:u w:val="none"/>
          <w:lang w:val="en-US"/>
        </w:rPr>
        <w:t>rosstat</w:t>
      </w:r>
      <w:r w:rsidRPr="00173551">
        <w:rPr>
          <w:rStyle w:val="af0"/>
          <w:rFonts w:ascii="Times New Roman" w:eastAsia="Calibri" w:hAnsi="Times New Roman" w:cs="Times New Roman"/>
          <w:color w:val="000000" w:themeColor="text1"/>
          <w:sz w:val="28"/>
          <w:szCs w:val="28"/>
          <w:u w:val="none"/>
        </w:rPr>
        <w:t>.</w:t>
      </w:r>
      <w:r w:rsidRPr="00173551">
        <w:rPr>
          <w:rStyle w:val="af0"/>
          <w:rFonts w:ascii="Times New Roman" w:eastAsia="Calibri" w:hAnsi="Times New Roman" w:cs="Times New Roman"/>
          <w:color w:val="000000" w:themeColor="text1"/>
          <w:sz w:val="28"/>
          <w:szCs w:val="28"/>
          <w:u w:val="none"/>
          <w:lang w:val="en-US"/>
        </w:rPr>
        <w:t>gov</w:t>
      </w:r>
      <w:r w:rsidRPr="00173551">
        <w:rPr>
          <w:rStyle w:val="af0"/>
          <w:rFonts w:ascii="Times New Roman" w:eastAsia="Calibri" w:hAnsi="Times New Roman" w:cs="Times New Roman"/>
          <w:color w:val="000000" w:themeColor="text1"/>
          <w:sz w:val="28"/>
          <w:szCs w:val="28"/>
          <w:u w:val="none"/>
        </w:rPr>
        <w:t>.</w:t>
      </w:r>
      <w:r w:rsidRPr="00173551">
        <w:rPr>
          <w:rStyle w:val="af0"/>
          <w:rFonts w:ascii="Times New Roman" w:eastAsia="Calibri" w:hAnsi="Times New Roman" w:cs="Times New Roman"/>
          <w:color w:val="000000" w:themeColor="text1"/>
          <w:sz w:val="28"/>
          <w:szCs w:val="28"/>
          <w:u w:val="none"/>
          <w:lang w:val="en-US"/>
        </w:rPr>
        <w:t>ru</w:t>
      </w:r>
      <w:r w:rsidRPr="00173551">
        <w:rPr>
          <w:rStyle w:val="af0"/>
          <w:rFonts w:ascii="Times New Roman" w:eastAsia="Calibri" w:hAnsi="Times New Roman" w:cs="Times New Roman"/>
          <w:color w:val="000000" w:themeColor="text1"/>
          <w:sz w:val="28"/>
          <w:szCs w:val="28"/>
          <w:u w:val="none"/>
        </w:rPr>
        <w:t>/</w:t>
      </w:r>
      <w:r w:rsidRPr="00173551">
        <w:rPr>
          <w:rStyle w:val="af0"/>
          <w:rFonts w:ascii="Times New Roman" w:eastAsia="Calibri" w:hAnsi="Times New Roman" w:cs="Times New Roman"/>
          <w:color w:val="000000" w:themeColor="text1"/>
          <w:sz w:val="28"/>
          <w:szCs w:val="28"/>
          <w:u w:val="none"/>
          <w:lang w:val="en-US"/>
        </w:rPr>
        <w:t>statistics</w:t>
      </w:r>
      <w:r w:rsidRPr="00173551">
        <w:rPr>
          <w:rStyle w:val="af0"/>
          <w:rFonts w:ascii="Times New Roman" w:eastAsia="Calibri" w:hAnsi="Times New Roman" w:cs="Times New Roman"/>
          <w:color w:val="000000" w:themeColor="text1"/>
          <w:sz w:val="28"/>
          <w:szCs w:val="28"/>
          <w:u w:val="none"/>
        </w:rPr>
        <w:t>/</w:t>
      </w:r>
      <w:r w:rsidRPr="00173551">
        <w:rPr>
          <w:rStyle w:val="af0"/>
          <w:rFonts w:ascii="Times New Roman" w:eastAsia="Calibri" w:hAnsi="Times New Roman" w:cs="Times New Roman"/>
          <w:color w:val="000000" w:themeColor="text1"/>
          <w:sz w:val="28"/>
          <w:szCs w:val="28"/>
          <w:u w:val="none"/>
          <w:lang w:val="en-US"/>
        </w:rPr>
        <w:t>science</w:t>
      </w:r>
    </w:p>
    <w:p w:rsidR="001B6DE2" w:rsidRPr="0017355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color w:val="000000" w:themeColor="text1"/>
          <w:sz w:val="28"/>
          <w:szCs w:val="28"/>
        </w:rPr>
      </w:pPr>
      <w:r w:rsidRPr="00173551">
        <w:rPr>
          <w:rFonts w:ascii="Times New Roman" w:eastAsia="Calibri" w:hAnsi="Times New Roman" w:cs="Times New Roman"/>
          <w:color w:val="000000" w:themeColor="text1"/>
          <w:sz w:val="28"/>
          <w:szCs w:val="28"/>
        </w:rPr>
        <w:t xml:space="preserve">Российская Федерация. Законы. О государственной корпорации развития «ВЭБ.РФ»: Федеральный закон № 82-ФЗ: принят Государственной Думой 20 апреля 2007 года: одобрен Советом Федерации 4 мая 2007 года. // URL: https://www.consultant.ru/document/cons_doc_LAW_68404/ (дата обращения: 18.11.2023). </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Pr>
          <w:rFonts w:ascii="Times New Roman" w:eastAsia="Calibri" w:hAnsi="Times New Roman" w:cs="Times New Roman"/>
          <w:color w:val="000000" w:themeColor="text1"/>
          <w:sz w:val="28"/>
          <w:szCs w:val="28"/>
        </w:rPr>
        <w:t xml:space="preserve">Шмигидин, Б.Р. </w:t>
      </w:r>
      <w:r w:rsidRPr="00033D33">
        <w:rPr>
          <w:rFonts w:ascii="Times New Roman" w:eastAsia="Calibri" w:hAnsi="Times New Roman" w:cs="Times New Roman"/>
          <w:color w:val="000000" w:themeColor="text1"/>
          <w:sz w:val="28"/>
          <w:szCs w:val="28"/>
        </w:rPr>
        <w:t>Причины инвестиций в криптовалюту в 2018-2019 году и возможности её использования в разных странах // Экономика и бизнес: теория и практи</w:t>
      </w:r>
      <w:r w:rsidRPr="00C36631">
        <w:rPr>
          <w:rFonts w:ascii="Times New Roman" w:eastAsia="Calibri" w:hAnsi="Times New Roman" w:cs="Times New Roman"/>
          <w:sz w:val="28"/>
          <w:szCs w:val="28"/>
        </w:rPr>
        <w:t>ка. - 2021. - № 12-3. - С. 155-158.</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Шляхова, А. Л. Характеристика инновационной инфраструктуры в 182 Российской Федерации / А. Л. Шляхова // Экономика, Управление, Право: современные вызовы и перспективы развития. – 2022. – № 11. – С. 55-58.</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 Шелоумов</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Д.В. Оценка востребованности инструментов научно-технической поддержки в стратегии устойчивого развития современных организаций // Вестник Российского экономического университета имени Г.В. Плеханова. 2023. Т. 20, № 1. С. 188-199.</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Щербаков</w:t>
      </w:r>
      <w:r>
        <w:rPr>
          <w:rFonts w:ascii="Times New Roman" w:eastAsia="Calibri" w:hAnsi="Times New Roman" w:cs="Times New Roman"/>
          <w:sz w:val="28"/>
          <w:szCs w:val="28"/>
        </w:rPr>
        <w:t>,</w:t>
      </w:r>
      <w:r w:rsidRPr="00C36631">
        <w:rPr>
          <w:rFonts w:ascii="Times New Roman" w:eastAsia="Calibri" w:hAnsi="Times New Roman" w:cs="Times New Roman"/>
          <w:sz w:val="28"/>
          <w:szCs w:val="28"/>
        </w:rPr>
        <w:t xml:space="preserve"> В.Н. Инвестиционный потенциал и промышленный рост: монография /. - 3-е изд. - </w:t>
      </w:r>
      <w:r>
        <w:rPr>
          <w:rFonts w:ascii="Times New Roman" w:eastAsia="Calibri" w:hAnsi="Times New Roman" w:cs="Times New Roman"/>
          <w:sz w:val="28"/>
          <w:szCs w:val="28"/>
        </w:rPr>
        <w:t>Москва</w:t>
      </w:r>
      <w:r w:rsidRPr="00C36631">
        <w:rPr>
          <w:rFonts w:ascii="Times New Roman" w:eastAsia="Calibri" w:hAnsi="Times New Roman" w:cs="Times New Roman"/>
          <w:sz w:val="28"/>
          <w:szCs w:val="28"/>
        </w:rPr>
        <w:t>: Дашков и К, – 2021. - 434 с.</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rPr>
      </w:pPr>
      <w:r w:rsidRPr="00C36631">
        <w:rPr>
          <w:rFonts w:ascii="Times New Roman" w:eastAsia="Calibri" w:hAnsi="Times New Roman" w:cs="Times New Roman"/>
          <w:sz w:val="28"/>
          <w:szCs w:val="28"/>
        </w:rPr>
        <w:t>Электронный журнал «РБК» [</w:t>
      </w:r>
      <w:r>
        <w:rPr>
          <w:rFonts w:ascii="Times New Roman" w:eastAsia="Calibri" w:hAnsi="Times New Roman" w:cs="Times New Roman"/>
          <w:sz w:val="28"/>
          <w:szCs w:val="28"/>
        </w:rPr>
        <w:t>Сайт</w:t>
      </w:r>
      <w:r w:rsidRPr="00C36631">
        <w:rPr>
          <w:rFonts w:ascii="Times New Roman" w:eastAsia="Calibri" w:hAnsi="Times New Roman" w:cs="Times New Roman"/>
          <w:sz w:val="28"/>
          <w:szCs w:val="28"/>
        </w:rPr>
        <w:t xml:space="preserve">] URL: </w:t>
      </w:r>
      <w:r w:rsidRPr="00C36631">
        <w:rPr>
          <w:rFonts w:ascii="Times New Roman" w:eastAsia="Calibri" w:hAnsi="Times New Roman" w:cs="Times New Roman"/>
          <w:sz w:val="28"/>
          <w:szCs w:val="28"/>
          <w:lang w:val="en-US"/>
        </w:rPr>
        <w:t>https</w:t>
      </w:r>
      <w:r w:rsidRPr="00C36631">
        <w:rPr>
          <w:rFonts w:ascii="Times New Roman" w:eastAsia="Calibri" w:hAnsi="Times New Roman" w:cs="Times New Roman"/>
          <w:sz w:val="28"/>
          <w:szCs w:val="28"/>
        </w:rPr>
        <w:t xml:space="preserve">:// </w:t>
      </w:r>
      <w:hyperlink r:id="rId23" w:history="1">
        <w:r w:rsidRPr="00C36631">
          <w:rPr>
            <w:rFonts w:ascii="Times New Roman" w:eastAsia="Calibri" w:hAnsi="Times New Roman" w:cs="Times New Roman"/>
            <w:sz w:val="28"/>
            <w:szCs w:val="28"/>
          </w:rPr>
          <w:t>www.rbc.ru</w:t>
        </w:r>
      </w:hyperlink>
      <w:r w:rsidRPr="00C36631">
        <w:rPr>
          <w:rFonts w:ascii="Times New Roman" w:eastAsia="Calibri" w:hAnsi="Times New Roman" w:cs="Times New Roman"/>
          <w:sz w:val="28"/>
          <w:szCs w:val="28"/>
        </w:rPr>
        <w:t xml:space="preserve"> (дата обращения: 26.04.2024).</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lang w:val="en-US"/>
        </w:rPr>
      </w:pPr>
      <w:r w:rsidRPr="00C36631">
        <w:rPr>
          <w:rFonts w:ascii="Times New Roman" w:eastAsia="Calibri" w:hAnsi="Times New Roman" w:cs="Times New Roman"/>
          <w:sz w:val="28"/>
          <w:szCs w:val="28"/>
          <w:lang w:val="en-US"/>
        </w:rPr>
        <w:t xml:space="preserve">Avila-Lopez L., Lyu Ch., Lopez-Leyva S. Innovation and Growth: Evidence from Latin American Countries // Journal of Applied Economics. 2019. </w:t>
      </w:r>
      <w:r w:rsidRPr="00C36631">
        <w:rPr>
          <w:rFonts w:ascii="Times New Roman" w:eastAsia="Calibri" w:hAnsi="Times New Roman" w:cs="Times New Roman"/>
          <w:sz w:val="28"/>
          <w:szCs w:val="28"/>
          <w:lang w:val="en-US"/>
        </w:rPr>
        <w:lastRenderedPageBreak/>
        <w:t>Vol. 22. Is. 1. P. 287-303. DOI: 10.1080/02102412.2019.1610624</w:t>
      </w:r>
      <w:r w:rsidRPr="00C36631">
        <w:rPr>
          <w:rFonts w:ascii="Times New Roman" w:eastAsia="Calibri" w:hAnsi="Times New Roman" w:cs="Times New Roman"/>
          <w:sz w:val="28"/>
          <w:szCs w:val="28"/>
        </w:rPr>
        <w:t xml:space="preserve"> (дата обращения: 20.04.2024).</w:t>
      </w:r>
    </w:p>
    <w:p w:rsidR="001B6DE2" w:rsidRPr="00C36631" w:rsidRDefault="001B6DE2" w:rsidP="001B6DE2">
      <w:pPr>
        <w:numPr>
          <w:ilvl w:val="0"/>
          <w:numId w:val="20"/>
        </w:numPr>
        <w:autoSpaceDE w:val="0"/>
        <w:autoSpaceDN w:val="0"/>
        <w:adjustRightInd w:val="0"/>
        <w:spacing w:after="0" w:line="360" w:lineRule="auto"/>
        <w:ind w:left="0" w:firstLine="567"/>
        <w:contextualSpacing/>
        <w:jc w:val="both"/>
        <w:rPr>
          <w:rFonts w:ascii="Times New Roman" w:eastAsia="Calibri" w:hAnsi="Times New Roman" w:cs="Times New Roman"/>
          <w:sz w:val="28"/>
          <w:szCs w:val="28"/>
          <w:lang w:val="en-US"/>
        </w:rPr>
      </w:pPr>
      <w:r w:rsidRPr="00C36631">
        <w:rPr>
          <w:rFonts w:ascii="Times New Roman" w:eastAsia="Calibri" w:hAnsi="Times New Roman" w:cs="Times New Roman"/>
          <w:sz w:val="28"/>
          <w:szCs w:val="28"/>
          <w:lang w:val="en-US"/>
        </w:rPr>
        <w:t>Falck O, Kerkhof APfaffl C. Steuern und Innovation // Ifo Forschungsberichte. – 2021. № 123. S. 35.</w:t>
      </w:r>
    </w:p>
    <w:p w:rsidR="00141AA2" w:rsidRDefault="001B6DE2"/>
    <w:sectPr w:rsidR="00141AA2" w:rsidSect="00117327">
      <w:footerReference w:type="default" r:id="rId24"/>
      <w:pgSz w:w="11906" w:h="16838"/>
      <w:pgMar w:top="1134" w:right="851" w:bottom="1134" w:left="1701"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Brutal Type">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68164021"/>
      <w:docPartObj>
        <w:docPartGallery w:val="Page Numbers (Bottom of Page)"/>
        <w:docPartUnique/>
      </w:docPartObj>
    </w:sdtPr>
    <w:sdtEndPr/>
    <w:sdtContent>
      <w:p w:rsidR="00172F28" w:rsidRPr="00117327" w:rsidRDefault="001B6DE2">
        <w:pPr>
          <w:pStyle w:val="a6"/>
          <w:jc w:val="center"/>
          <w:rPr>
            <w:rFonts w:ascii="Times New Roman" w:hAnsi="Times New Roman" w:cs="Times New Roman"/>
            <w:sz w:val="24"/>
            <w:szCs w:val="24"/>
          </w:rPr>
        </w:pPr>
        <w:r w:rsidRPr="00117327">
          <w:rPr>
            <w:rFonts w:ascii="Times New Roman" w:hAnsi="Times New Roman" w:cs="Times New Roman"/>
            <w:sz w:val="24"/>
            <w:szCs w:val="24"/>
          </w:rPr>
          <w:fldChar w:fldCharType="begin"/>
        </w:r>
        <w:r w:rsidRPr="00117327">
          <w:rPr>
            <w:rFonts w:ascii="Times New Roman" w:hAnsi="Times New Roman" w:cs="Times New Roman"/>
            <w:sz w:val="24"/>
            <w:szCs w:val="24"/>
          </w:rPr>
          <w:instrText>PAGE   \* MERGEFORMAT</w:instrText>
        </w:r>
        <w:r w:rsidRPr="00117327">
          <w:rPr>
            <w:rFonts w:ascii="Times New Roman" w:hAnsi="Times New Roman" w:cs="Times New Roman"/>
            <w:sz w:val="24"/>
            <w:szCs w:val="24"/>
          </w:rPr>
          <w:fldChar w:fldCharType="separate"/>
        </w:r>
        <w:r>
          <w:rPr>
            <w:rFonts w:ascii="Times New Roman" w:hAnsi="Times New Roman" w:cs="Times New Roman"/>
            <w:noProof/>
            <w:sz w:val="24"/>
            <w:szCs w:val="24"/>
          </w:rPr>
          <w:t>2</w:t>
        </w:r>
        <w:r w:rsidRPr="00117327">
          <w:rPr>
            <w:rFonts w:ascii="Times New Roman" w:hAnsi="Times New Roman" w:cs="Times New Roman"/>
            <w:sz w:val="24"/>
            <w:szCs w:val="24"/>
          </w:rPr>
          <w:fldChar w:fldCharType="end"/>
        </w:r>
      </w:p>
    </w:sdtContent>
  </w:sdt>
  <w:p w:rsidR="00172F28" w:rsidRPr="00117327" w:rsidRDefault="001B6DE2">
    <w:pPr>
      <w:pStyle w:val="a6"/>
      <w:rPr>
        <w:rFonts w:ascii="Times New Roman" w:hAnsi="Times New Roman" w:cs="Times New Roman"/>
        <w:sz w:val="24"/>
        <w:szCs w:val="24"/>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5D96"/>
    <w:multiLevelType w:val="hybridMultilevel"/>
    <w:tmpl w:val="F88CBFE4"/>
    <w:lvl w:ilvl="0" w:tplc="C2A606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7E70C82"/>
    <w:multiLevelType w:val="hybridMultilevel"/>
    <w:tmpl w:val="E3AA93AA"/>
    <w:lvl w:ilvl="0" w:tplc="04190011">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03343FC"/>
    <w:multiLevelType w:val="hybridMultilevel"/>
    <w:tmpl w:val="B0308E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4CE0F9C"/>
    <w:multiLevelType w:val="hybridMultilevel"/>
    <w:tmpl w:val="09764D6C"/>
    <w:lvl w:ilvl="0" w:tplc="45E85D84">
      <w:start w:val="1"/>
      <w:numFmt w:val="bullet"/>
      <w:lvlText w:val=""/>
      <w:lvlJc w:val="left"/>
      <w:pPr>
        <w:ind w:left="1429" w:hanging="360"/>
      </w:pPr>
      <w:rPr>
        <w:rFonts w:ascii="Symbol" w:eastAsia="SimHe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6ED56CD"/>
    <w:multiLevelType w:val="hybridMultilevel"/>
    <w:tmpl w:val="4606E97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894DAA"/>
    <w:multiLevelType w:val="hybridMultilevel"/>
    <w:tmpl w:val="7E80542A"/>
    <w:lvl w:ilvl="0" w:tplc="89FE4D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9F11C61"/>
    <w:multiLevelType w:val="hybridMultilevel"/>
    <w:tmpl w:val="493E41FE"/>
    <w:lvl w:ilvl="0" w:tplc="45E85D84">
      <w:start w:val="1"/>
      <w:numFmt w:val="bullet"/>
      <w:lvlText w:val=""/>
      <w:lvlJc w:val="left"/>
      <w:pPr>
        <w:ind w:left="720" w:hanging="360"/>
      </w:pPr>
      <w:rPr>
        <w:rFonts w:ascii="Symbol" w:eastAsia="SimHei"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C85A3A"/>
    <w:multiLevelType w:val="hybridMultilevel"/>
    <w:tmpl w:val="3AAE82D4"/>
    <w:lvl w:ilvl="0" w:tplc="45E85D84">
      <w:start w:val="1"/>
      <w:numFmt w:val="bullet"/>
      <w:lvlText w:val=""/>
      <w:lvlJc w:val="left"/>
      <w:pPr>
        <w:ind w:left="720" w:hanging="360"/>
      </w:pPr>
      <w:rPr>
        <w:rFonts w:ascii="Symbol" w:eastAsia="SimHei"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776474"/>
    <w:multiLevelType w:val="hybridMultilevel"/>
    <w:tmpl w:val="F8268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D0824D9"/>
    <w:multiLevelType w:val="hybridMultilevel"/>
    <w:tmpl w:val="D6E2182C"/>
    <w:lvl w:ilvl="0" w:tplc="45E85D84">
      <w:start w:val="1"/>
      <w:numFmt w:val="bullet"/>
      <w:lvlText w:val=""/>
      <w:lvlJc w:val="left"/>
      <w:pPr>
        <w:ind w:left="720" w:hanging="360"/>
      </w:pPr>
      <w:rPr>
        <w:rFonts w:ascii="Symbol" w:eastAsia="SimHei"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3C53C1"/>
    <w:multiLevelType w:val="hybridMultilevel"/>
    <w:tmpl w:val="920C5422"/>
    <w:lvl w:ilvl="0" w:tplc="C2A606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5004256"/>
    <w:multiLevelType w:val="hybridMultilevel"/>
    <w:tmpl w:val="403A6BAC"/>
    <w:lvl w:ilvl="0" w:tplc="A0541D88">
      <w:start w:val="1"/>
      <w:numFmt w:val="bullet"/>
      <w:lvlText w:val="-"/>
      <w:lvlJc w:val="left"/>
      <w:pPr>
        <w:ind w:left="1287" w:hanging="360"/>
      </w:pPr>
      <w:rPr>
        <w:rFonts w:ascii="Symbol" w:hAnsi="Symbol" w:hint="default"/>
      </w:rPr>
    </w:lvl>
    <w:lvl w:ilvl="1" w:tplc="5E148358" w:tentative="1">
      <w:start w:val="1"/>
      <w:numFmt w:val="bullet"/>
      <w:lvlText w:val="o"/>
      <w:lvlJc w:val="left"/>
      <w:pPr>
        <w:ind w:left="2007" w:hanging="360"/>
      </w:pPr>
      <w:rPr>
        <w:rFonts w:ascii="Courier New" w:hAnsi="Courier New" w:cs="Courier New" w:hint="default"/>
      </w:rPr>
    </w:lvl>
    <w:lvl w:ilvl="2" w:tplc="24ECBEB8" w:tentative="1">
      <w:start w:val="1"/>
      <w:numFmt w:val="bullet"/>
      <w:lvlText w:val=""/>
      <w:lvlJc w:val="left"/>
      <w:pPr>
        <w:ind w:left="2727" w:hanging="360"/>
      </w:pPr>
      <w:rPr>
        <w:rFonts w:ascii="Wingdings" w:hAnsi="Wingdings" w:hint="default"/>
      </w:rPr>
    </w:lvl>
    <w:lvl w:ilvl="3" w:tplc="1598DE3E" w:tentative="1">
      <w:start w:val="1"/>
      <w:numFmt w:val="bullet"/>
      <w:lvlText w:val=""/>
      <w:lvlJc w:val="left"/>
      <w:pPr>
        <w:ind w:left="3447" w:hanging="360"/>
      </w:pPr>
      <w:rPr>
        <w:rFonts w:ascii="Symbol" w:hAnsi="Symbol" w:hint="default"/>
      </w:rPr>
    </w:lvl>
    <w:lvl w:ilvl="4" w:tplc="69B00890" w:tentative="1">
      <w:start w:val="1"/>
      <w:numFmt w:val="bullet"/>
      <w:lvlText w:val="o"/>
      <w:lvlJc w:val="left"/>
      <w:pPr>
        <w:ind w:left="4167" w:hanging="360"/>
      </w:pPr>
      <w:rPr>
        <w:rFonts w:ascii="Courier New" w:hAnsi="Courier New" w:cs="Courier New" w:hint="default"/>
      </w:rPr>
    </w:lvl>
    <w:lvl w:ilvl="5" w:tplc="DCA8A45C" w:tentative="1">
      <w:start w:val="1"/>
      <w:numFmt w:val="bullet"/>
      <w:lvlText w:val=""/>
      <w:lvlJc w:val="left"/>
      <w:pPr>
        <w:ind w:left="4887" w:hanging="360"/>
      </w:pPr>
      <w:rPr>
        <w:rFonts w:ascii="Wingdings" w:hAnsi="Wingdings" w:hint="default"/>
      </w:rPr>
    </w:lvl>
    <w:lvl w:ilvl="6" w:tplc="FC26F0B0" w:tentative="1">
      <w:start w:val="1"/>
      <w:numFmt w:val="bullet"/>
      <w:lvlText w:val=""/>
      <w:lvlJc w:val="left"/>
      <w:pPr>
        <w:ind w:left="5607" w:hanging="360"/>
      </w:pPr>
      <w:rPr>
        <w:rFonts w:ascii="Symbol" w:hAnsi="Symbol" w:hint="default"/>
      </w:rPr>
    </w:lvl>
    <w:lvl w:ilvl="7" w:tplc="14CAEEFA" w:tentative="1">
      <w:start w:val="1"/>
      <w:numFmt w:val="bullet"/>
      <w:lvlText w:val="o"/>
      <w:lvlJc w:val="left"/>
      <w:pPr>
        <w:ind w:left="6327" w:hanging="360"/>
      </w:pPr>
      <w:rPr>
        <w:rFonts w:ascii="Courier New" w:hAnsi="Courier New" w:cs="Courier New" w:hint="default"/>
      </w:rPr>
    </w:lvl>
    <w:lvl w:ilvl="8" w:tplc="708E572E" w:tentative="1">
      <w:start w:val="1"/>
      <w:numFmt w:val="bullet"/>
      <w:lvlText w:val=""/>
      <w:lvlJc w:val="left"/>
      <w:pPr>
        <w:ind w:left="7047" w:hanging="360"/>
      </w:pPr>
      <w:rPr>
        <w:rFonts w:ascii="Wingdings" w:hAnsi="Wingdings" w:hint="default"/>
      </w:rPr>
    </w:lvl>
  </w:abstractNum>
  <w:abstractNum w:abstractNumId="12" w15:restartNumberingAfterBreak="0">
    <w:nsid w:val="47541C03"/>
    <w:multiLevelType w:val="hybridMultilevel"/>
    <w:tmpl w:val="AE64B82A"/>
    <w:lvl w:ilvl="0" w:tplc="45E85D84">
      <w:start w:val="1"/>
      <w:numFmt w:val="bullet"/>
      <w:lvlText w:val=""/>
      <w:lvlJc w:val="left"/>
      <w:pPr>
        <w:ind w:left="7023" w:hanging="360"/>
      </w:pPr>
      <w:rPr>
        <w:rFonts w:ascii="Symbol" w:eastAsia="SimHei" w:hAnsi="Symbol"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3" w15:restartNumberingAfterBreak="0">
    <w:nsid w:val="4C1E5E5B"/>
    <w:multiLevelType w:val="hybridMultilevel"/>
    <w:tmpl w:val="130891EE"/>
    <w:lvl w:ilvl="0" w:tplc="C2A606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F2B6B4E"/>
    <w:multiLevelType w:val="multilevel"/>
    <w:tmpl w:val="9F90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E1BE2"/>
    <w:multiLevelType w:val="hybridMultilevel"/>
    <w:tmpl w:val="DC487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80165F2"/>
    <w:multiLevelType w:val="hybridMultilevel"/>
    <w:tmpl w:val="74A67344"/>
    <w:lvl w:ilvl="0" w:tplc="45E85D84">
      <w:start w:val="1"/>
      <w:numFmt w:val="bullet"/>
      <w:lvlText w:val=""/>
      <w:lvlJc w:val="left"/>
      <w:pPr>
        <w:ind w:left="1287" w:hanging="360"/>
      </w:pPr>
      <w:rPr>
        <w:rFonts w:ascii="Symbol" w:eastAsia="SimHei"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8487D18"/>
    <w:multiLevelType w:val="hybridMultilevel"/>
    <w:tmpl w:val="71A4429E"/>
    <w:lvl w:ilvl="0" w:tplc="45E85D84">
      <w:start w:val="1"/>
      <w:numFmt w:val="bullet"/>
      <w:lvlText w:val=""/>
      <w:lvlJc w:val="left"/>
      <w:pPr>
        <w:ind w:left="1287" w:hanging="360"/>
      </w:pPr>
      <w:rPr>
        <w:rFonts w:ascii="Symbol" w:eastAsia="SimHei"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AB9259D"/>
    <w:multiLevelType w:val="hybridMultilevel"/>
    <w:tmpl w:val="711E1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3839CA"/>
    <w:multiLevelType w:val="hybridMultilevel"/>
    <w:tmpl w:val="538236FE"/>
    <w:lvl w:ilvl="0" w:tplc="C2A606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09E4F16"/>
    <w:multiLevelType w:val="hybridMultilevel"/>
    <w:tmpl w:val="65E67E2E"/>
    <w:lvl w:ilvl="0" w:tplc="45E85D84">
      <w:start w:val="1"/>
      <w:numFmt w:val="bullet"/>
      <w:lvlText w:val=""/>
      <w:lvlJc w:val="left"/>
      <w:pPr>
        <w:ind w:left="2062" w:hanging="360"/>
      </w:pPr>
      <w:rPr>
        <w:rFonts w:ascii="Symbol" w:eastAsia="SimHei"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1" w15:restartNumberingAfterBreak="0">
    <w:nsid w:val="6B8D4B19"/>
    <w:multiLevelType w:val="hybridMultilevel"/>
    <w:tmpl w:val="FD427510"/>
    <w:lvl w:ilvl="0" w:tplc="45E85D84">
      <w:start w:val="1"/>
      <w:numFmt w:val="bullet"/>
      <w:lvlText w:val=""/>
      <w:lvlJc w:val="left"/>
      <w:pPr>
        <w:ind w:left="720" w:hanging="360"/>
      </w:pPr>
      <w:rPr>
        <w:rFonts w:ascii="Symbol" w:eastAsia="SimHei"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011BD8"/>
    <w:multiLevelType w:val="multilevel"/>
    <w:tmpl w:val="AC0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34203B"/>
    <w:multiLevelType w:val="hybridMultilevel"/>
    <w:tmpl w:val="56F6A282"/>
    <w:lvl w:ilvl="0" w:tplc="C2A606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2CA70C7"/>
    <w:multiLevelType w:val="hybridMultilevel"/>
    <w:tmpl w:val="A59CE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FE3E79"/>
    <w:multiLevelType w:val="hybridMultilevel"/>
    <w:tmpl w:val="7E96B6CC"/>
    <w:lvl w:ilvl="0" w:tplc="45E85D84">
      <w:start w:val="1"/>
      <w:numFmt w:val="bullet"/>
      <w:lvlText w:val=""/>
      <w:lvlJc w:val="left"/>
      <w:pPr>
        <w:ind w:left="720" w:hanging="360"/>
      </w:pPr>
      <w:rPr>
        <w:rFonts w:ascii="Symbol" w:eastAsia="SimHei"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23"/>
  </w:num>
  <w:num w:numId="5">
    <w:abstractNumId w:val="0"/>
  </w:num>
  <w:num w:numId="6">
    <w:abstractNumId w:val="24"/>
  </w:num>
  <w:num w:numId="7">
    <w:abstractNumId w:val="17"/>
  </w:num>
  <w:num w:numId="8">
    <w:abstractNumId w:val="20"/>
  </w:num>
  <w:num w:numId="9">
    <w:abstractNumId w:val="21"/>
  </w:num>
  <w:num w:numId="10">
    <w:abstractNumId w:val="1"/>
  </w:num>
  <w:num w:numId="11">
    <w:abstractNumId w:val="4"/>
  </w:num>
  <w:num w:numId="12">
    <w:abstractNumId w:val="7"/>
  </w:num>
  <w:num w:numId="13">
    <w:abstractNumId w:val="25"/>
  </w:num>
  <w:num w:numId="14">
    <w:abstractNumId w:val="16"/>
  </w:num>
  <w:num w:numId="15">
    <w:abstractNumId w:val="12"/>
  </w:num>
  <w:num w:numId="16">
    <w:abstractNumId w:val="19"/>
  </w:num>
  <w:num w:numId="17">
    <w:abstractNumId w:val="2"/>
  </w:num>
  <w:num w:numId="18">
    <w:abstractNumId w:val="8"/>
  </w:num>
  <w:num w:numId="19">
    <w:abstractNumId w:val="5"/>
  </w:num>
  <w:num w:numId="20">
    <w:abstractNumId w:val="18"/>
  </w:num>
  <w:num w:numId="21">
    <w:abstractNumId w:val="9"/>
  </w:num>
  <w:num w:numId="22">
    <w:abstractNumId w:val="15"/>
  </w:num>
  <w:num w:numId="23">
    <w:abstractNumId w:val="6"/>
  </w:num>
  <w:num w:numId="24">
    <w:abstractNumId w:val="14"/>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2C"/>
    <w:rsid w:val="00063F1C"/>
    <w:rsid w:val="001B6DE2"/>
    <w:rsid w:val="003B32FE"/>
    <w:rsid w:val="00DD5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14ACA-D552-4236-8599-019CDE9C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D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1B6D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1B6D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1B6D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1B6D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6D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6DE2"/>
  </w:style>
  <w:style w:type="paragraph" w:styleId="a6">
    <w:name w:val="footer"/>
    <w:basedOn w:val="a"/>
    <w:link w:val="a7"/>
    <w:uiPriority w:val="99"/>
    <w:unhideWhenUsed/>
    <w:rsid w:val="001B6D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6DE2"/>
  </w:style>
  <w:style w:type="character" w:styleId="a8">
    <w:name w:val="annotation reference"/>
    <w:basedOn w:val="a0"/>
    <w:uiPriority w:val="99"/>
    <w:semiHidden/>
    <w:unhideWhenUsed/>
    <w:rsid w:val="001B6DE2"/>
    <w:rPr>
      <w:sz w:val="16"/>
      <w:szCs w:val="16"/>
    </w:rPr>
  </w:style>
  <w:style w:type="paragraph" w:styleId="a9">
    <w:name w:val="annotation text"/>
    <w:basedOn w:val="a"/>
    <w:link w:val="aa"/>
    <w:uiPriority w:val="99"/>
    <w:semiHidden/>
    <w:unhideWhenUsed/>
    <w:rsid w:val="001B6DE2"/>
    <w:pPr>
      <w:spacing w:line="240" w:lineRule="auto"/>
    </w:pPr>
    <w:rPr>
      <w:sz w:val="20"/>
      <w:szCs w:val="20"/>
    </w:rPr>
  </w:style>
  <w:style w:type="character" w:customStyle="1" w:styleId="aa">
    <w:name w:val="Текст примечания Знак"/>
    <w:basedOn w:val="a0"/>
    <w:link w:val="a9"/>
    <w:uiPriority w:val="99"/>
    <w:semiHidden/>
    <w:rsid w:val="001B6DE2"/>
    <w:rPr>
      <w:sz w:val="20"/>
      <w:szCs w:val="20"/>
    </w:rPr>
  </w:style>
  <w:style w:type="paragraph" w:styleId="ab">
    <w:name w:val="annotation subject"/>
    <w:basedOn w:val="a9"/>
    <w:next w:val="a9"/>
    <w:link w:val="ac"/>
    <w:uiPriority w:val="99"/>
    <w:semiHidden/>
    <w:unhideWhenUsed/>
    <w:rsid w:val="001B6DE2"/>
    <w:rPr>
      <w:b/>
      <w:bCs/>
    </w:rPr>
  </w:style>
  <w:style w:type="character" w:customStyle="1" w:styleId="ac">
    <w:name w:val="Тема примечания Знак"/>
    <w:basedOn w:val="aa"/>
    <w:link w:val="ab"/>
    <w:uiPriority w:val="99"/>
    <w:semiHidden/>
    <w:rsid w:val="001B6DE2"/>
    <w:rPr>
      <w:b/>
      <w:bCs/>
      <w:sz w:val="20"/>
      <w:szCs w:val="20"/>
    </w:rPr>
  </w:style>
  <w:style w:type="paragraph" w:styleId="ad">
    <w:name w:val="Balloon Text"/>
    <w:basedOn w:val="a"/>
    <w:link w:val="ae"/>
    <w:uiPriority w:val="99"/>
    <w:semiHidden/>
    <w:unhideWhenUsed/>
    <w:rsid w:val="001B6DE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B6DE2"/>
    <w:rPr>
      <w:rFonts w:ascii="Tahoma" w:hAnsi="Tahoma" w:cs="Tahoma"/>
      <w:sz w:val="16"/>
      <w:szCs w:val="16"/>
    </w:rPr>
  </w:style>
  <w:style w:type="paragraph" w:styleId="af">
    <w:name w:val="List Paragraph"/>
    <w:basedOn w:val="a"/>
    <w:uiPriority w:val="34"/>
    <w:qFormat/>
    <w:rsid w:val="001B6DE2"/>
    <w:pPr>
      <w:ind w:left="720"/>
      <w:contextualSpacing/>
    </w:pPr>
  </w:style>
  <w:style w:type="character" w:styleId="af0">
    <w:name w:val="Hyperlink"/>
    <w:basedOn w:val="a0"/>
    <w:uiPriority w:val="99"/>
    <w:unhideWhenUsed/>
    <w:rsid w:val="001B6DE2"/>
    <w:rPr>
      <w:color w:val="0563C1" w:themeColor="hyperlink"/>
      <w:u w:val="single"/>
    </w:rPr>
  </w:style>
  <w:style w:type="paragraph" w:styleId="af1">
    <w:name w:val="Normal (Web)"/>
    <w:basedOn w:val="a"/>
    <w:uiPriority w:val="99"/>
    <w:semiHidden/>
    <w:unhideWhenUsed/>
    <w:rsid w:val="001B6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1B6D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osstat.gov.ru/storage/mediabank/pr818-27122019.pdf" TargetMode="External"/><Relationship Id="rId7" Type="http://schemas.openxmlformats.org/officeDocument/2006/relationships/image" Target="media/image3.png"/><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image" Target="media/image1.png"/><Relationship Id="rId15" Type="http://schemas.microsoft.com/office/2007/relationships/hdphoto" Target="media/hdphoto1.wdp"/><Relationship Id="rId23" Type="http://schemas.openxmlformats.org/officeDocument/2006/relationships/hyperlink" Target="https://www.rbc.ru/" TargetMode="Externa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png"/><Relationship Id="rId22" Type="http://schemas.openxmlformats.org/officeDocument/2006/relationships/hyperlink" Target="https://www.fasie.ru/programs/programma-star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ugivara\Downloads\Innov-3%20(2).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ugivara\Downloads\Innov-5%20(2).xls"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ugivara\Downloads\data.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ugivara\Downloads\Innov-2%20(3).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ugivara\Downloads\data.xls"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Mugivara\Downloads\Innov-1%20(3).xls"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ugivara\Desktop\&#1051;&#1080;&#1089;&#1090;%20Microsoft%20Excel%20(2).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ugivara\Desktop\&#1051;&#1080;&#1089;&#1090;%20Microsoft%20Excel%20(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83889743460693"/>
          <c:y val="0.11574074074074074"/>
          <c:w val="0.72865690044395959"/>
          <c:h val="0.59977544473607469"/>
        </c:manualLayout>
      </c:layout>
      <c:lineChart>
        <c:grouping val="standard"/>
        <c:varyColors val="0"/>
        <c:ser>
          <c:idx val="0"/>
          <c:order val="0"/>
          <c:tx>
            <c:strRef>
              <c:f>'[Innov-3 (2).xls]2'!$Q$10</c:f>
              <c:strCache>
                <c:ptCount val="1"/>
                <c:pt idx="0">
                  <c:v>Всего отгружено товаров собственного производства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4349939040183079E-2"/>
                  <c:y val="3.93864829396325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68-486D-BDD6-223E298C0704}"/>
                </c:ext>
              </c:extLst>
            </c:dLbl>
            <c:dLbl>
              <c:idx val="1"/>
              <c:layout>
                <c:manualLayout>
                  <c:x val="-5.0561261674939406E-2"/>
                  <c:y val="3.93864829396325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68-486D-BDD6-223E298C0704}"/>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'[Innov-3 (2).xls]2'!$R$9:$W$9</c:f>
              <c:numCache>
                <c:formatCode>General</c:formatCode>
                <c:ptCount val="6"/>
                <c:pt idx="0">
                  <c:v>2017</c:v>
                </c:pt>
                <c:pt idx="1">
                  <c:v>2018</c:v>
                </c:pt>
                <c:pt idx="2">
                  <c:v>2019</c:v>
                </c:pt>
                <c:pt idx="3">
                  <c:v>2020</c:v>
                </c:pt>
                <c:pt idx="4">
                  <c:v>2021</c:v>
                </c:pt>
                <c:pt idx="5">
                  <c:v>2022</c:v>
                </c:pt>
              </c:numCache>
            </c:numRef>
          </c:cat>
          <c:val>
            <c:numRef>
              <c:f>'[Innov-3 (2).xls]2'!$R$10:$W$10</c:f>
              <c:numCache>
                <c:formatCode>#\ ##0.0</c:formatCode>
                <c:ptCount val="6"/>
                <c:pt idx="0">
                  <c:v>57611057.814000003</c:v>
                </c:pt>
                <c:pt idx="1">
                  <c:v>68982626.565600008</c:v>
                </c:pt>
                <c:pt idx="2">
                  <c:v>92253929.632499993</c:v>
                </c:pt>
                <c:pt idx="3">
                  <c:v>91296007.704399988</c:v>
                </c:pt>
                <c:pt idx="4">
                  <c:v>119675282.8</c:v>
                </c:pt>
                <c:pt idx="5">
                  <c:v>125634740.05930001</c:v>
                </c:pt>
              </c:numCache>
            </c:numRef>
          </c:val>
          <c:smooth val="0"/>
          <c:extLst>
            <c:ext xmlns:c16="http://schemas.microsoft.com/office/drawing/2014/chart" uri="{C3380CC4-5D6E-409C-BE32-E72D297353CC}">
              <c16:uniqueId val="{00000002-A768-486D-BDD6-223E298C0704}"/>
            </c:ext>
          </c:extLst>
        </c:ser>
        <c:dLbls>
          <c:showLegendKey val="0"/>
          <c:showVal val="1"/>
          <c:showCatName val="0"/>
          <c:showSerName val="0"/>
          <c:showPercent val="0"/>
          <c:showBubbleSize val="0"/>
        </c:dLbls>
        <c:marker val="1"/>
        <c:smooth val="0"/>
        <c:axId val="-225046240"/>
        <c:axId val="-225031008"/>
      </c:lineChart>
      <c:lineChart>
        <c:grouping val="standard"/>
        <c:varyColors val="0"/>
        <c:ser>
          <c:idx val="1"/>
          <c:order val="1"/>
          <c:tx>
            <c:strRef>
              <c:f>'[Innov-3 (2).xls]2'!$Q$11</c:f>
              <c:strCache>
                <c:ptCount val="1"/>
                <c:pt idx="0">
                  <c:v>Отгружено инновационных товаров, работ и услуг</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dLbl>
              <c:idx val="0"/>
              <c:layout>
                <c:manualLayout>
                  <c:x val="-6.0800531524040261E-2"/>
                  <c:y val="-4.86457421988918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68-486D-BDD6-223E298C0704}"/>
                </c:ext>
              </c:extLst>
            </c:dLbl>
            <c:dLbl>
              <c:idx val="1"/>
              <c:layout>
                <c:manualLayout>
                  <c:x val="-4.7525688741359512E-2"/>
                  <c:y val="-5.32753718285214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68-486D-BDD6-223E298C0704}"/>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'[Innov-3 (2).xls]2'!$R$9:$W$9</c:f>
              <c:numCache>
                <c:formatCode>General</c:formatCode>
                <c:ptCount val="6"/>
                <c:pt idx="0">
                  <c:v>2017</c:v>
                </c:pt>
                <c:pt idx="1">
                  <c:v>2018</c:v>
                </c:pt>
                <c:pt idx="2">
                  <c:v>2019</c:v>
                </c:pt>
                <c:pt idx="3">
                  <c:v>2020</c:v>
                </c:pt>
                <c:pt idx="4">
                  <c:v>2021</c:v>
                </c:pt>
                <c:pt idx="5">
                  <c:v>2022</c:v>
                </c:pt>
              </c:numCache>
            </c:numRef>
          </c:cat>
          <c:val>
            <c:numRef>
              <c:f>'[Innov-3 (2).xls]2'!$R$11:$W$11</c:f>
              <c:numCache>
                <c:formatCode>#\ ##0.0</c:formatCode>
                <c:ptCount val="6"/>
                <c:pt idx="0">
                  <c:v>4166998.6524999999</c:v>
                </c:pt>
                <c:pt idx="1">
                  <c:v>4516276.3626999995</c:v>
                </c:pt>
                <c:pt idx="2">
                  <c:v>4863381.8671000004</c:v>
                </c:pt>
                <c:pt idx="3">
                  <c:v>5189046.2328999992</c:v>
                </c:pt>
                <c:pt idx="4">
                  <c:v>6003342</c:v>
                </c:pt>
                <c:pt idx="5">
                  <c:v>6377248.5241</c:v>
                </c:pt>
              </c:numCache>
            </c:numRef>
          </c:val>
          <c:smooth val="0"/>
          <c:extLst>
            <c:ext xmlns:c16="http://schemas.microsoft.com/office/drawing/2014/chart" uri="{C3380CC4-5D6E-409C-BE32-E72D297353CC}">
              <c16:uniqueId val="{00000005-A768-486D-BDD6-223E298C0704}"/>
            </c:ext>
          </c:extLst>
        </c:ser>
        <c:dLbls>
          <c:showLegendKey val="0"/>
          <c:showVal val="1"/>
          <c:showCatName val="0"/>
          <c:showSerName val="0"/>
          <c:showPercent val="0"/>
          <c:showBubbleSize val="0"/>
        </c:dLbls>
        <c:marker val="1"/>
        <c:smooth val="0"/>
        <c:axId val="-225023392"/>
        <c:axId val="-225032640"/>
      </c:lineChart>
      <c:catAx>
        <c:axId val="-22504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031008"/>
        <c:crosses val="autoZero"/>
        <c:auto val="1"/>
        <c:lblAlgn val="ctr"/>
        <c:lblOffset val="100"/>
        <c:noMultiLvlLbl val="0"/>
      </c:catAx>
      <c:valAx>
        <c:axId val="-225031008"/>
        <c:scaling>
          <c:orientation val="minMax"/>
          <c:min val="40000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046240"/>
        <c:crosses val="autoZero"/>
        <c:crossBetween val="between"/>
        <c:dispUnits>
          <c:builtInUnit val="thousands"/>
          <c:dispUnitsLbl>
            <c:layout>
              <c:manualLayout>
                <c:xMode val="edge"/>
                <c:yMode val="edge"/>
                <c:x val="1.5611651326653306E-2"/>
                <c:y val="1.3888888888888888E-2"/>
              </c:manualLayout>
            </c:layout>
            <c:tx>
              <c:rich>
                <a:bodyPr rot="0" spcFirstLastPara="1" vertOverflow="ellipsis" wrap="square" anchor="b" anchorCtr="1"/>
                <a:lstStyle/>
                <a:p>
                  <a:pPr>
                    <a:defRPr sz="1000" b="0" i="0" u="none" strike="noStrike" kern="1200" baseline="0">
                      <a:solidFill>
                        <a:schemeClr val="tx1">
                          <a:lumMod val="65000"/>
                          <a:lumOff val="35000"/>
                        </a:schemeClr>
                      </a:solidFill>
                      <a:latin typeface="+mn-lt"/>
                      <a:ea typeface="+mn-ea"/>
                      <a:cs typeface="+mn-cs"/>
                    </a:defRPr>
                  </a:pPr>
                  <a:r>
                    <a:rPr lang="ru-RU"/>
                    <a:t>млрд, руб.</a:t>
                  </a:r>
                </a:p>
              </c:rich>
            </c:tx>
            <c:spPr>
              <a:noFill/>
              <a:ln>
                <a:noFill/>
              </a:ln>
              <a:effectLst/>
            </c:spPr>
            <c:txPr>
              <a:bodyPr rot="0" spcFirstLastPara="1" vertOverflow="ellipsis" wrap="square" anchor="b" anchorCtr="1"/>
              <a:lstStyle/>
              <a:p>
                <a:pPr>
                  <a:defRPr sz="1000" b="0" i="0" u="none" strike="noStrike" kern="1200" baseline="0">
                    <a:solidFill>
                      <a:schemeClr val="tx1">
                        <a:lumMod val="65000"/>
                        <a:lumOff val="35000"/>
                      </a:schemeClr>
                    </a:solidFill>
                    <a:latin typeface="+mn-lt"/>
                    <a:ea typeface="+mn-ea"/>
                    <a:cs typeface="+mn-cs"/>
                  </a:defRPr>
                </a:pPr>
                <a:endParaRPr lang="ru-RU"/>
              </a:p>
            </c:txPr>
          </c:dispUnitsLbl>
        </c:dispUnits>
      </c:valAx>
      <c:valAx>
        <c:axId val="-225032640"/>
        <c:scaling>
          <c:orientation val="minMax"/>
          <c:min val="300000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023392"/>
        <c:crosses val="max"/>
        <c:crossBetween val="between"/>
        <c:dispUnits>
          <c:builtInUnit val="thousands"/>
          <c:dispUnitsLbl>
            <c:layout>
              <c:manualLayout>
                <c:xMode val="edge"/>
                <c:yMode val="edge"/>
                <c:x val="0.87579017937592396"/>
                <c:y val="1.3888888888888888E-2"/>
              </c:manualLayout>
            </c:layout>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млрд, руб.</a:t>
                  </a:r>
                </a:p>
              </c:rich>
            </c:tx>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dispUnitsLbl>
        </c:dispUnits>
      </c:valAx>
      <c:catAx>
        <c:axId val="-225023392"/>
        <c:scaling>
          <c:orientation val="minMax"/>
        </c:scaling>
        <c:delete val="1"/>
        <c:axPos val="b"/>
        <c:numFmt formatCode="General" sourceLinked="1"/>
        <c:majorTickMark val="out"/>
        <c:minorTickMark val="none"/>
        <c:tickLblPos val="nextTo"/>
        <c:crossAx val="-2250326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891447944007"/>
          <c:y val="5.0925925925925923E-2"/>
          <c:w val="0.82052996500437458"/>
          <c:h val="0.74445246427529888"/>
        </c:manualLayout>
      </c:layout>
      <c:bar3DChart>
        <c:barDir val="col"/>
        <c:grouping val="stacked"/>
        <c:varyColors val="0"/>
        <c:ser>
          <c:idx val="0"/>
          <c:order val="0"/>
          <c:tx>
            <c:strRef>
              <c:f>'[Innov-5 (2).xls]2'!$R$8</c:f>
              <c:strCache>
                <c:ptCount val="1"/>
                <c:pt idx="0">
                  <c:v>Затраты на инновационную деятельность организаци</c:v>
                </c:pt>
              </c:strCache>
            </c:strRef>
          </c:tx>
          <c:spPr>
            <a:solidFill>
              <a:schemeClr val="accent1"/>
            </a:solidFill>
            <a:ln>
              <a:noFill/>
            </a:ln>
            <a:effectLst/>
            <a:sp3d/>
          </c:spPr>
          <c:invertIfNegative val="0"/>
          <c:cat>
            <c:numRef>
              <c:f>'[Innov-5 (2).xls]2'!$S$7:$X$7</c:f>
              <c:numCache>
                <c:formatCode>General</c:formatCode>
                <c:ptCount val="6"/>
                <c:pt idx="0">
                  <c:v>2017</c:v>
                </c:pt>
                <c:pt idx="1">
                  <c:v>2018</c:v>
                </c:pt>
                <c:pt idx="2">
                  <c:v>2019</c:v>
                </c:pt>
                <c:pt idx="3">
                  <c:v>2020</c:v>
                </c:pt>
                <c:pt idx="4">
                  <c:v>2021</c:v>
                </c:pt>
                <c:pt idx="5">
                  <c:v>2022</c:v>
                </c:pt>
              </c:numCache>
            </c:numRef>
          </c:cat>
          <c:val>
            <c:numRef>
              <c:f>'[Innov-5 (2).xls]2'!$S$8:$X$8</c:f>
              <c:numCache>
                <c:formatCode>#,##0.00</c:formatCode>
                <c:ptCount val="6"/>
                <c:pt idx="0">
                  <c:v>1404985.3</c:v>
                </c:pt>
                <c:pt idx="1">
                  <c:v>1472822.3</c:v>
                </c:pt>
                <c:pt idx="2">
                  <c:v>1954133.3</c:v>
                </c:pt>
                <c:pt idx="3">
                  <c:v>2134038.4</c:v>
                </c:pt>
                <c:pt idx="4">
                  <c:v>2379709.9</c:v>
                </c:pt>
                <c:pt idx="5">
                  <c:v>2662571.1</c:v>
                </c:pt>
              </c:numCache>
            </c:numRef>
          </c:val>
          <c:extLst>
            <c:ext xmlns:c16="http://schemas.microsoft.com/office/drawing/2014/chart" uri="{C3380CC4-5D6E-409C-BE32-E72D297353CC}">
              <c16:uniqueId val="{00000000-5317-47EB-BD2E-B160B07DA966}"/>
            </c:ext>
          </c:extLst>
        </c:ser>
        <c:dLbls>
          <c:showLegendKey val="0"/>
          <c:showVal val="0"/>
          <c:showCatName val="0"/>
          <c:showSerName val="0"/>
          <c:showPercent val="0"/>
          <c:showBubbleSize val="0"/>
        </c:dLbls>
        <c:gapWidth val="150"/>
        <c:shape val="box"/>
        <c:axId val="-225020128"/>
        <c:axId val="-225029376"/>
        <c:axId val="0"/>
      </c:bar3DChart>
      <c:catAx>
        <c:axId val="-225020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225029376"/>
        <c:crosses val="autoZero"/>
        <c:auto val="1"/>
        <c:lblAlgn val="ctr"/>
        <c:lblOffset val="100"/>
        <c:noMultiLvlLbl val="0"/>
      </c:catAx>
      <c:valAx>
        <c:axId val="-225029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225020128"/>
        <c:crosses val="autoZero"/>
        <c:crossBetween val="between"/>
        <c:dispUnits>
          <c:builtInUnit val="thousands"/>
          <c:dispUnitsLbl>
            <c:layout>
              <c:manualLayout>
                <c:xMode val="edge"/>
                <c:yMode val="edge"/>
                <c:x val="2.4922134733158352E-2"/>
                <c:y val="1.8405147273257511E-2"/>
              </c:manualLayout>
            </c:layout>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млрд. руб.</a:t>
                  </a:r>
                </a:p>
              </c:rich>
            </c:tx>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dispUnitsLbl>
        </c:dispUnits>
      </c:valAx>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[data.xls]Данные!$A$12</c:f>
              <c:strCache>
                <c:ptCount val="1"/>
                <c:pt idx="0">
                  <c:v>Доля внутренних затрат на НИОКР в ВВП</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[data.xls]Данные!$B$11:$N$11</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strCache>
            </c:strRef>
          </c:cat>
          <c:val>
            <c:numRef>
              <c:f>[data.xls]Данные!$B$12:$N$12</c:f>
              <c:numCache>
                <c:formatCode>0.00%</c:formatCode>
                <c:ptCount val="13"/>
                <c:pt idx="0">
                  <c:v>1.1299999999999999E-2</c:v>
                </c:pt>
                <c:pt idx="1">
                  <c:v>1.0200000000000001E-2</c:v>
                </c:pt>
                <c:pt idx="2">
                  <c:v>1.03E-2</c:v>
                </c:pt>
                <c:pt idx="3">
                  <c:v>1.03E-2</c:v>
                </c:pt>
                <c:pt idx="4">
                  <c:v>1.0700000000000001E-2</c:v>
                </c:pt>
                <c:pt idx="5">
                  <c:v>1.1000000000000001E-2</c:v>
                </c:pt>
                <c:pt idx="6">
                  <c:v>1.1000000000000001E-2</c:v>
                </c:pt>
                <c:pt idx="7">
                  <c:v>1.11E-2</c:v>
                </c:pt>
                <c:pt idx="8">
                  <c:v>0.01</c:v>
                </c:pt>
                <c:pt idx="9">
                  <c:v>1.04E-2</c:v>
                </c:pt>
                <c:pt idx="10">
                  <c:v>1.1000000000000001E-2</c:v>
                </c:pt>
                <c:pt idx="11">
                  <c:v>0.01</c:v>
                </c:pt>
                <c:pt idx="12">
                  <c:v>9.3999999999999986E-3</c:v>
                </c:pt>
              </c:numCache>
            </c:numRef>
          </c:val>
          <c:extLst>
            <c:ext xmlns:c16="http://schemas.microsoft.com/office/drawing/2014/chart" uri="{C3380CC4-5D6E-409C-BE32-E72D297353CC}">
              <c16:uniqueId val="{00000000-B0EC-4894-8BE1-4102FB2CF12A}"/>
            </c:ext>
          </c:extLst>
        </c:ser>
        <c:dLbls>
          <c:dLblPos val="outEnd"/>
          <c:showLegendKey val="0"/>
          <c:showVal val="1"/>
          <c:showCatName val="0"/>
          <c:showSerName val="0"/>
          <c:showPercent val="0"/>
          <c:showBubbleSize val="0"/>
        </c:dLbls>
        <c:gapWidth val="219"/>
        <c:overlap val="-27"/>
        <c:axId val="-225048416"/>
        <c:axId val="-225021760"/>
      </c:barChart>
      <c:catAx>
        <c:axId val="-22504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021760"/>
        <c:crosses val="autoZero"/>
        <c:auto val="1"/>
        <c:lblAlgn val="ctr"/>
        <c:lblOffset val="100"/>
        <c:noMultiLvlLbl val="0"/>
      </c:catAx>
      <c:valAx>
        <c:axId val="-2250217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048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35892388451444"/>
          <c:y val="9.2592592592592587E-2"/>
          <c:w val="0.48210778723389608"/>
          <c:h val="0.80848050773314351"/>
        </c:manualLayout>
      </c:layout>
      <c:lineChart>
        <c:grouping val="standard"/>
        <c:varyColors val="0"/>
        <c:ser>
          <c:idx val="0"/>
          <c:order val="0"/>
          <c:tx>
            <c:strRef>
              <c:f>'[Innov-2 (3).xls]1'!$R$5</c:f>
              <c:strCache>
                <c:ptCount val="1"/>
                <c:pt idx="0">
                  <c:v>Удельный вес организаций, осуществлявших технологические инновации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2.5827811875912616E-2"/>
                  <c:y val="-4.1431261770244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622-4744-9E49-BEA961092737}"/>
                </c:ext>
              </c:extLst>
            </c:dLbl>
            <c:dLbl>
              <c:idx val="3"/>
              <c:layout>
                <c:manualLayout>
                  <c:x val="-7.9470190387424169E-3"/>
                  <c:y val="-5.2730696798493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22-4744-9E49-BEA9610927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'[Innov-2 (3).xls]1'!$Q$6:$Q$10</c:f>
              <c:numCache>
                <c:formatCode>General</c:formatCode>
                <c:ptCount val="5"/>
                <c:pt idx="0">
                  <c:v>2018</c:v>
                </c:pt>
                <c:pt idx="1">
                  <c:v>2019</c:v>
                </c:pt>
                <c:pt idx="2">
                  <c:v>2020</c:v>
                </c:pt>
                <c:pt idx="3">
                  <c:v>2021</c:v>
                </c:pt>
                <c:pt idx="4">
                  <c:v>2022</c:v>
                </c:pt>
              </c:numCache>
            </c:numRef>
          </c:cat>
          <c:val>
            <c:numRef>
              <c:f>'[Innov-2 (3).xls]1'!$R$6:$R$10</c:f>
              <c:numCache>
                <c:formatCode>0.0%</c:formatCode>
                <c:ptCount val="5"/>
                <c:pt idx="0">
                  <c:v>0.19800000000000001</c:v>
                </c:pt>
                <c:pt idx="1">
                  <c:v>0.21600000000000003</c:v>
                </c:pt>
                <c:pt idx="2">
                  <c:v>0.22975739901966868</c:v>
                </c:pt>
                <c:pt idx="3">
                  <c:v>0.22967640094711916</c:v>
                </c:pt>
                <c:pt idx="4">
                  <c:v>0.22826514853284074</c:v>
                </c:pt>
              </c:numCache>
            </c:numRef>
          </c:val>
          <c:smooth val="0"/>
          <c:extLst>
            <c:ext xmlns:c16="http://schemas.microsoft.com/office/drawing/2014/chart" uri="{C3380CC4-5D6E-409C-BE32-E72D297353CC}">
              <c16:uniqueId val="{00000002-5622-4744-9E49-BEA961092737}"/>
            </c:ext>
          </c:extLst>
        </c:ser>
        <c:dLbls>
          <c:showLegendKey val="0"/>
          <c:showVal val="1"/>
          <c:showCatName val="0"/>
          <c:showSerName val="0"/>
          <c:showPercent val="0"/>
          <c:showBubbleSize val="0"/>
        </c:dLbls>
        <c:marker val="1"/>
        <c:smooth val="0"/>
        <c:axId val="-225038080"/>
        <c:axId val="-225037536"/>
      </c:lineChart>
      <c:lineChart>
        <c:grouping val="standard"/>
        <c:varyColors val="0"/>
        <c:ser>
          <c:idx val="1"/>
          <c:order val="1"/>
          <c:tx>
            <c:strRef>
              <c:f>'[Innov-2 (3).xls]1'!$S$5</c:f>
              <c:strCache>
                <c:ptCount val="1"/>
                <c:pt idx="0">
                  <c:v>Удельный вес инновационных товаров, работ, услуг в общем объеме отгруженных товаров, 
выполненных работ, услуг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2.1854302356541483E-2"/>
                  <c:y val="-4.89642184557438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622-4744-9E49-BEA961092737}"/>
                </c:ext>
              </c:extLst>
            </c:dLbl>
            <c:dLbl>
              <c:idx val="2"/>
              <c:layout>
                <c:manualLayout>
                  <c:x val="-1.7880792837170274E-2"/>
                  <c:y val="5.6497175141242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622-4744-9E49-BEA961092737}"/>
                </c:ext>
              </c:extLst>
            </c:dLbl>
            <c:dLbl>
              <c:idx val="3"/>
              <c:layout>
                <c:manualLayout>
                  <c:x val="-2.1854302356541445E-2"/>
                  <c:y val="6.77966101694915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622-4744-9E49-BEA9610927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'[Innov-2 (3).xls]1'!$Q$6:$Q$10</c:f>
              <c:numCache>
                <c:formatCode>General</c:formatCode>
                <c:ptCount val="5"/>
                <c:pt idx="0">
                  <c:v>2018</c:v>
                </c:pt>
                <c:pt idx="1">
                  <c:v>2019</c:v>
                </c:pt>
                <c:pt idx="2">
                  <c:v>2020</c:v>
                </c:pt>
                <c:pt idx="3">
                  <c:v>2021</c:v>
                </c:pt>
                <c:pt idx="4">
                  <c:v>2022</c:v>
                </c:pt>
              </c:numCache>
            </c:numRef>
          </c:cat>
          <c:val>
            <c:numRef>
              <c:f>'[Innov-2 (3).xls]1'!$S$6:$S$10</c:f>
              <c:numCache>
                <c:formatCode>0.0%</c:formatCode>
                <c:ptCount val="5"/>
                <c:pt idx="0">
                  <c:v>6.5000000000000002E-2</c:v>
                </c:pt>
                <c:pt idx="1">
                  <c:v>5.2717341000796641E-2</c:v>
                </c:pt>
                <c:pt idx="2">
                  <c:v>5.6859757208187041E-2</c:v>
                </c:pt>
                <c:pt idx="3">
                  <c:v>5.01635912687909E-2</c:v>
                </c:pt>
                <c:pt idx="4">
                  <c:v>5.0760231772596642E-2</c:v>
                </c:pt>
              </c:numCache>
            </c:numRef>
          </c:val>
          <c:smooth val="0"/>
          <c:extLst>
            <c:ext xmlns:c16="http://schemas.microsoft.com/office/drawing/2014/chart" uri="{C3380CC4-5D6E-409C-BE32-E72D297353CC}">
              <c16:uniqueId val="{00000006-5622-4744-9E49-BEA961092737}"/>
            </c:ext>
          </c:extLst>
        </c:ser>
        <c:dLbls>
          <c:showLegendKey val="0"/>
          <c:showVal val="1"/>
          <c:showCatName val="0"/>
          <c:showSerName val="0"/>
          <c:showPercent val="0"/>
          <c:showBubbleSize val="0"/>
        </c:dLbls>
        <c:marker val="1"/>
        <c:smooth val="0"/>
        <c:axId val="-225028832"/>
        <c:axId val="-225044064"/>
      </c:lineChart>
      <c:catAx>
        <c:axId val="-22503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037536"/>
        <c:crosses val="autoZero"/>
        <c:auto val="1"/>
        <c:lblAlgn val="ctr"/>
        <c:lblOffset val="100"/>
        <c:noMultiLvlLbl val="0"/>
      </c:catAx>
      <c:valAx>
        <c:axId val="-2250375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038080"/>
        <c:crosses val="autoZero"/>
        <c:crossBetween val="between"/>
      </c:valAx>
      <c:valAx>
        <c:axId val="-225044064"/>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028832"/>
        <c:crosses val="max"/>
        <c:crossBetween val="between"/>
      </c:valAx>
      <c:catAx>
        <c:axId val="-225028832"/>
        <c:scaling>
          <c:orientation val="minMax"/>
        </c:scaling>
        <c:delete val="1"/>
        <c:axPos val="b"/>
        <c:numFmt formatCode="General" sourceLinked="1"/>
        <c:majorTickMark val="out"/>
        <c:minorTickMark val="none"/>
        <c:tickLblPos val="nextTo"/>
        <c:crossAx val="-225044064"/>
        <c:crosses val="autoZero"/>
        <c:auto val="1"/>
        <c:lblAlgn val="ctr"/>
        <c:lblOffset val="100"/>
        <c:noMultiLvlLbl val="0"/>
      </c:catAx>
      <c:spPr>
        <a:noFill/>
        <a:ln>
          <a:noFill/>
        </a:ln>
        <a:effectLst/>
      </c:spPr>
    </c:plotArea>
    <c:legend>
      <c:legendPos val="r"/>
      <c:layout>
        <c:manualLayout>
          <c:xMode val="edge"/>
          <c:yMode val="edge"/>
          <c:x val="0.66091057091243977"/>
          <c:y val="0.15982432678282463"/>
          <c:w val="0.33908944682802872"/>
          <c:h val="0.68784905636288773"/>
        </c:manualLayout>
      </c:layout>
      <c:overlay val="1"/>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872096640769295E-2"/>
          <c:y val="4.6121593291404611E-2"/>
          <c:w val="0.59598917715328936"/>
          <c:h val="0.85661103682794371"/>
        </c:manualLayout>
      </c:layout>
      <c:scatterChart>
        <c:scatterStyle val="lineMarker"/>
        <c:varyColors val="0"/>
        <c:ser>
          <c:idx val="0"/>
          <c:order val="0"/>
          <c:tx>
            <c:strRef>
              <c:f>[data.xls]Данные!$G$49</c:f>
              <c:strCache>
                <c:ptCount val="1"/>
                <c:pt idx="0">
                  <c:v>Количество субъектов РФ, получивших поддержку в рамках новых федеральных механизмов содействия субъектам РФ, активно инвестирубщих в стимулирвоание инновационной деятельности, ед.</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[data.xls]Данные!$F$50:$F$54</c:f>
              <c:numCache>
                <c:formatCode>General</c:formatCode>
                <c:ptCount val="5"/>
                <c:pt idx="0">
                  <c:v>2013</c:v>
                </c:pt>
                <c:pt idx="1">
                  <c:v>2016</c:v>
                </c:pt>
                <c:pt idx="2">
                  <c:v>2020</c:v>
                </c:pt>
                <c:pt idx="3">
                  <c:v>2021</c:v>
                </c:pt>
                <c:pt idx="4">
                  <c:v>2022</c:v>
                </c:pt>
              </c:numCache>
            </c:numRef>
          </c:xVal>
          <c:yVal>
            <c:numRef>
              <c:f>[data.xls]Данные!$G$50:$G$54</c:f>
              <c:numCache>
                <c:formatCode>General</c:formatCode>
                <c:ptCount val="5"/>
                <c:pt idx="0">
                  <c:v>5</c:v>
                </c:pt>
                <c:pt idx="1">
                  <c:v>12</c:v>
                </c:pt>
                <c:pt idx="2">
                  <c:v>15</c:v>
                </c:pt>
                <c:pt idx="3">
                  <c:v>17</c:v>
                </c:pt>
                <c:pt idx="4">
                  <c:v>20</c:v>
                </c:pt>
              </c:numCache>
            </c:numRef>
          </c:yVal>
          <c:smooth val="0"/>
          <c:extLst>
            <c:ext xmlns:c16="http://schemas.microsoft.com/office/drawing/2014/chart" uri="{C3380CC4-5D6E-409C-BE32-E72D297353CC}">
              <c16:uniqueId val="{00000000-2D60-4A93-960D-603243F748CE}"/>
            </c:ext>
          </c:extLst>
        </c:ser>
        <c:ser>
          <c:idx val="1"/>
          <c:order val="1"/>
          <c:tx>
            <c:strRef>
              <c:f>[data.xls]Данные!$H$49</c:f>
              <c:strCache>
                <c:ptCount val="1"/>
                <c:pt idx="0">
                  <c:v>Количество инновационных кластеров, получивших федеральную поддержку после 2010 г. И сумевших удвоить высокотехнологичный экспорт с момента такой поддержки, ед.</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dLbls>
            <c:delete val="1"/>
          </c:dLbls>
          <c:xVal>
            <c:numRef>
              <c:f>[data.xls]Данные!$F$50:$F$54</c:f>
              <c:numCache>
                <c:formatCode>General</c:formatCode>
                <c:ptCount val="5"/>
                <c:pt idx="0">
                  <c:v>2013</c:v>
                </c:pt>
                <c:pt idx="1">
                  <c:v>2016</c:v>
                </c:pt>
                <c:pt idx="2">
                  <c:v>2020</c:v>
                </c:pt>
                <c:pt idx="3">
                  <c:v>2021</c:v>
                </c:pt>
                <c:pt idx="4">
                  <c:v>2022</c:v>
                </c:pt>
              </c:numCache>
            </c:numRef>
          </c:xVal>
          <c:yVal>
            <c:numRef>
              <c:f>[data.xls]Данные!$H$50:$H$54</c:f>
              <c:numCache>
                <c:formatCode>General</c:formatCode>
                <c:ptCount val="5"/>
                <c:pt idx="0">
                  <c:v>0</c:v>
                </c:pt>
                <c:pt idx="1">
                  <c:v>4</c:v>
                </c:pt>
                <c:pt idx="2">
                  <c:v>7</c:v>
                </c:pt>
                <c:pt idx="3">
                  <c:v>7</c:v>
                </c:pt>
                <c:pt idx="4">
                  <c:v>8</c:v>
                </c:pt>
              </c:numCache>
            </c:numRef>
          </c:yVal>
          <c:smooth val="0"/>
          <c:extLst>
            <c:ext xmlns:c16="http://schemas.microsoft.com/office/drawing/2014/chart" uri="{C3380CC4-5D6E-409C-BE32-E72D297353CC}">
              <c16:uniqueId val="{00000001-2D60-4A93-960D-603243F748CE}"/>
            </c:ext>
          </c:extLst>
        </c:ser>
        <c:dLbls>
          <c:dLblPos val="t"/>
          <c:showLegendKey val="0"/>
          <c:showVal val="1"/>
          <c:showCatName val="0"/>
          <c:showSerName val="0"/>
          <c:showPercent val="0"/>
          <c:showBubbleSize val="0"/>
        </c:dLbls>
        <c:axId val="-225047328"/>
        <c:axId val="-225035904"/>
      </c:scatterChart>
      <c:valAx>
        <c:axId val="-225047328"/>
        <c:scaling>
          <c:orientation val="minMax"/>
          <c:max val="2023"/>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25035904"/>
        <c:crosses val="autoZero"/>
        <c:crossBetween val="midCat"/>
        <c:majorUnit val="1"/>
      </c:valAx>
      <c:valAx>
        <c:axId val="-225035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047328"/>
        <c:crosses val="autoZero"/>
        <c:crossBetween val="midCat"/>
        <c:majorUnit val="2"/>
      </c:valAx>
      <c:spPr>
        <a:noFill/>
        <a:ln>
          <a:noFill/>
        </a:ln>
        <a:effectLst/>
      </c:spPr>
    </c:plotArea>
    <c:legend>
      <c:legendPos val="r"/>
      <c:layout>
        <c:manualLayout>
          <c:xMode val="edge"/>
          <c:yMode val="edge"/>
          <c:x val="0.67127152213768393"/>
          <c:y val="6.8088611565063795E-2"/>
          <c:w val="0.30862538779860543"/>
          <c:h val="0.869663084567259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'[Innov-1 (3).xls]Лист1'!$B$1</c:f>
              <c:strCache>
                <c:ptCount val="1"/>
                <c:pt idx="0">
                  <c:v>Уровень инновационной активности организаций по субъектам, %</c:v>
                </c:pt>
              </c:strCache>
            </c:strRef>
          </c:tx>
          <c:spPr>
            <a:solidFill>
              <a:schemeClr val="accent1"/>
            </a:solidFill>
            <a:ln>
              <a:noFill/>
            </a:ln>
            <a:effectLst/>
          </c:spPr>
          <c:invertIfNegative val="0"/>
          <c:dPt>
            <c:idx val="1"/>
            <c:invertIfNegative val="0"/>
            <c:bubble3D val="0"/>
            <c:spPr>
              <a:solidFill>
                <a:schemeClr val="bg2">
                  <a:lumMod val="50000"/>
                </a:schemeClr>
              </a:solidFill>
              <a:ln>
                <a:noFill/>
              </a:ln>
              <a:effectLst/>
            </c:spPr>
            <c:extLst>
              <c:ext xmlns:c16="http://schemas.microsoft.com/office/drawing/2014/chart" uri="{C3380CC4-5D6E-409C-BE32-E72D297353CC}">
                <c16:uniqueId val="{00000001-7953-4AC2-888E-F6E0BCA105F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'[Innov-1 (3).xls]Лист1'!$A$2:$A$11</c:f>
              <c:strCache>
                <c:ptCount val="10"/>
                <c:pt idx="1">
                  <c:v>РФ, всего</c:v>
                </c:pt>
                <c:pt idx="2">
                  <c:v>  Северо-Кавказский ФО</c:v>
                </c:pt>
                <c:pt idx="3">
                  <c:v>  Дальневосточный ФО</c:v>
                </c:pt>
                <c:pt idx="4">
                  <c:v>  Сибирский ФО</c:v>
                </c:pt>
                <c:pt idx="5">
                  <c:v>  Уральский ФО</c:v>
                </c:pt>
                <c:pt idx="6">
                  <c:v>  Северо-Западный ФО</c:v>
                </c:pt>
                <c:pt idx="7">
                  <c:v>  Южный ФО</c:v>
                </c:pt>
                <c:pt idx="8">
                  <c:v>  Центральный ФО</c:v>
                </c:pt>
                <c:pt idx="9">
                  <c:v>  Приволжский ФО</c:v>
                </c:pt>
              </c:strCache>
            </c:strRef>
          </c:cat>
          <c:val>
            <c:numRef>
              <c:f>'[Innov-1 (3).xls]Лист1'!$B$2:$B$11</c:f>
              <c:numCache>
                <c:formatCode>[=0]\ "";0.0</c:formatCode>
                <c:ptCount val="10"/>
                <c:pt idx="1">
                  <c:v>11</c:v>
                </c:pt>
                <c:pt idx="2">
                  <c:v>4.0467625899280577</c:v>
                </c:pt>
                <c:pt idx="3">
                  <c:v>7.4223245109321061</c:v>
                </c:pt>
                <c:pt idx="4">
                  <c:v>9.244294467631649</c:v>
                </c:pt>
                <c:pt idx="5">
                  <c:v>9.8520472531253578</c:v>
                </c:pt>
                <c:pt idx="6">
                  <c:v>10.616023533483302</c:v>
                </c:pt>
                <c:pt idx="7">
                  <c:v>10.832455216016859</c:v>
                </c:pt>
                <c:pt idx="8">
                  <c:v>11.04998728059018</c:v>
                </c:pt>
                <c:pt idx="9">
                  <c:v>15.927534575380044</c:v>
                </c:pt>
              </c:numCache>
            </c:numRef>
          </c:val>
          <c:extLst>
            <c:ext xmlns:c16="http://schemas.microsoft.com/office/drawing/2014/chart" uri="{C3380CC4-5D6E-409C-BE32-E72D297353CC}">
              <c16:uniqueId val="{00000002-7953-4AC2-888E-F6E0BCA105F8}"/>
            </c:ext>
          </c:extLst>
        </c:ser>
        <c:dLbls>
          <c:dLblPos val="outEnd"/>
          <c:showLegendKey val="0"/>
          <c:showVal val="1"/>
          <c:showCatName val="0"/>
          <c:showSerName val="0"/>
          <c:showPercent val="0"/>
          <c:showBubbleSize val="0"/>
        </c:dLbls>
        <c:gapWidth val="182"/>
        <c:axId val="-225027200"/>
        <c:axId val="-225043520"/>
      </c:barChart>
      <c:catAx>
        <c:axId val="-225027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25043520"/>
        <c:crosses val="autoZero"/>
        <c:auto val="1"/>
        <c:lblAlgn val="ctr"/>
        <c:lblOffset val="100"/>
        <c:noMultiLvlLbl val="0"/>
      </c:catAx>
      <c:valAx>
        <c:axId val="-225043520"/>
        <c:scaling>
          <c:orientation val="minMax"/>
        </c:scaling>
        <c:delete val="0"/>
        <c:axPos val="b"/>
        <c:majorGridlines>
          <c:spPr>
            <a:ln w="9525" cap="flat" cmpd="sng" algn="ctr">
              <a:solidFill>
                <a:schemeClr val="tx1">
                  <a:lumMod val="15000"/>
                  <a:lumOff val="85000"/>
                </a:schemeClr>
              </a:solidFill>
              <a:round/>
            </a:ln>
            <a:effectLst/>
          </c:spPr>
        </c:majorGridlines>
        <c:numFmt formatCode="[=0]\ &quot;&quot;;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2502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5.3914260717410324E-2"/>
          <c:y val="0.10185185185185185"/>
          <c:w val="0.9155301837270341"/>
          <c:h val="0.32720508894721495"/>
        </c:manualLayout>
      </c:layout>
      <c:barChart>
        <c:barDir val="col"/>
        <c:grouping val="clustered"/>
        <c:varyColors val="0"/>
        <c:ser>
          <c:idx val="0"/>
          <c:order val="0"/>
          <c:tx>
            <c:strRef>
              <c:f>Лист1!$D$8:$D$9</c:f>
              <c:strCache>
                <c:ptCount val="2"/>
                <c:pt idx="0">
                  <c:v>Оценка развития инноваций в регионе, баллов</c:v>
                </c:pt>
                <c:pt idx="1">
                  <c:v>2021 г</c:v>
                </c:pt>
              </c:strCache>
            </c:strRef>
          </c:tx>
          <c:spPr>
            <a:solidFill>
              <a:schemeClr val="accent5">
                <a:shade val="76000"/>
              </a:schemeClr>
            </a:solidFill>
            <a:ln>
              <a:noFill/>
            </a:ln>
            <a:effectLst/>
          </c:spPr>
          <c:invertIfNegative val="0"/>
          <c:dLbls>
            <c:dLbl>
              <c:idx val="1"/>
              <c:layout>
                <c:manualLayout>
                  <c:x val="-1.2882445487137335E-2"/>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3F-4E2D-9042-D2E4B97EE86A}"/>
                </c:ext>
              </c:extLst>
            </c:dLbl>
            <c:dLbl>
              <c:idx val="2"/>
              <c:layout>
                <c:manualLayout>
                  <c:x val="-2.1470742478562617E-3"/>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3F-4E2D-9042-D2E4B97EE86A}"/>
                </c:ext>
              </c:extLst>
            </c:dLbl>
            <c:dLbl>
              <c:idx val="3"/>
              <c:layout>
                <c:manualLayout>
                  <c:x val="-6.4412227435687065E-3"/>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3F-4E2D-9042-D2E4B97EE86A}"/>
                </c:ext>
              </c:extLst>
            </c:dLbl>
            <c:dLbl>
              <c:idx val="4"/>
              <c:layout>
                <c:manualLayout>
                  <c:x val="-6.4412227435686675E-3"/>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3F-4E2D-9042-D2E4B97EE86A}"/>
                </c:ext>
              </c:extLst>
            </c:dLbl>
            <c:dLbl>
              <c:idx val="5"/>
              <c:layout>
                <c:manualLayout>
                  <c:x val="0"/>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33F-4E2D-9042-D2E4B97EE86A}"/>
                </c:ext>
              </c:extLst>
            </c:dLbl>
            <c:dLbl>
              <c:idx val="6"/>
              <c:layout>
                <c:manualLayout>
                  <c:x val="-8.5882969914248906E-3"/>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33F-4E2D-9042-D2E4B97EE86A}"/>
                </c:ext>
              </c:extLst>
            </c:dLbl>
            <c:dLbl>
              <c:idx val="7"/>
              <c:layout>
                <c:manualLayout>
                  <c:x val="-6.4412227435685886E-3"/>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33F-4E2D-9042-D2E4B97EE86A}"/>
                </c:ext>
              </c:extLst>
            </c:dLbl>
            <c:dLbl>
              <c:idx val="8"/>
              <c:layout>
                <c:manualLayout>
                  <c:x val="-1.2882445487137493E-2"/>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33F-4E2D-9042-D2E4B97EE86A}"/>
                </c:ext>
              </c:extLst>
            </c:dLbl>
            <c:dLbl>
              <c:idx val="9"/>
              <c:layout>
                <c:manualLayout>
                  <c:x val="-4.2941484957124453E-3"/>
                  <c:y val="9.25925925925921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33F-4E2D-9042-D2E4B97EE86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Лист1!$C$10:$C$19</c:f>
              <c:strCache>
                <c:ptCount val="10"/>
                <c:pt idx="0">
                  <c:v>Москва</c:v>
                </c:pt>
                <c:pt idx="1">
                  <c:v>Санкт-Петербург</c:v>
                </c:pt>
                <c:pt idx="2">
                  <c:v>Московская область</c:v>
                </c:pt>
                <c:pt idx="3">
                  <c:v>Республика Татарстан</c:v>
                </c:pt>
                <c:pt idx="4">
                  <c:v>Нижегородская область</c:v>
                </c:pt>
                <c:pt idx="5">
                  <c:v>Свердловская область</c:v>
                </c:pt>
                <c:pt idx="6">
                  <c:v>Пермский край</c:v>
                </c:pt>
                <c:pt idx="7">
                  <c:v>Самарская область</c:v>
                </c:pt>
                <c:pt idx="8">
                  <c:v>Республика Башкортостан</c:v>
                </c:pt>
                <c:pt idx="9">
                  <c:v>Челябинская область</c:v>
                </c:pt>
              </c:strCache>
            </c:strRef>
          </c:cat>
          <c:val>
            <c:numRef>
              <c:f>Лист1!$D$10:$D$19</c:f>
              <c:numCache>
                <c:formatCode>General</c:formatCode>
                <c:ptCount val="10"/>
                <c:pt idx="0">
                  <c:v>5</c:v>
                </c:pt>
                <c:pt idx="1">
                  <c:v>4.47</c:v>
                </c:pt>
                <c:pt idx="2">
                  <c:v>4.0599999999999996</c:v>
                </c:pt>
                <c:pt idx="3">
                  <c:v>3.75</c:v>
                </c:pt>
                <c:pt idx="4">
                  <c:v>3.45</c:v>
                </c:pt>
                <c:pt idx="5">
                  <c:v>3.38</c:v>
                </c:pt>
                <c:pt idx="6">
                  <c:v>3.21</c:v>
                </c:pt>
                <c:pt idx="7">
                  <c:v>3.12</c:v>
                </c:pt>
                <c:pt idx="8">
                  <c:v>3.06</c:v>
                </c:pt>
                <c:pt idx="9">
                  <c:v>3.04</c:v>
                </c:pt>
              </c:numCache>
            </c:numRef>
          </c:val>
          <c:extLst>
            <c:ext xmlns:c16="http://schemas.microsoft.com/office/drawing/2014/chart" uri="{C3380CC4-5D6E-409C-BE32-E72D297353CC}">
              <c16:uniqueId val="{00000009-F33F-4E2D-9042-D2E4B97EE86A}"/>
            </c:ext>
          </c:extLst>
        </c:ser>
        <c:ser>
          <c:idx val="1"/>
          <c:order val="1"/>
          <c:tx>
            <c:strRef>
              <c:f>Лист1!$E$8:$E$9</c:f>
              <c:strCache>
                <c:ptCount val="2"/>
                <c:pt idx="0">
                  <c:v>Оценка развития инноваций в регионе, баллов</c:v>
                </c:pt>
                <c:pt idx="1">
                  <c:v>2022 г</c:v>
                </c:pt>
              </c:strCache>
            </c:strRef>
          </c:tx>
          <c:spPr>
            <a:solidFill>
              <a:schemeClr val="accent5">
                <a:tint val="77000"/>
              </a:schemeClr>
            </a:solidFill>
            <a:ln>
              <a:noFill/>
            </a:ln>
            <a:effectLst/>
          </c:spPr>
          <c:invertIfNegative val="0"/>
          <c:dLbls>
            <c:dLbl>
              <c:idx val="1"/>
              <c:layout>
                <c:manualLayout>
                  <c:x val="-3.9362573157560023E-17"/>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33F-4E2D-9042-D2E4B97EE86A}"/>
                </c:ext>
              </c:extLst>
            </c:dLbl>
            <c:dLbl>
              <c:idx val="2"/>
              <c:layout>
                <c:manualLayout>
                  <c:x val="1.0735371239281113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33F-4E2D-9042-D2E4B97EE86A}"/>
                </c:ext>
              </c:extLst>
            </c:dLbl>
            <c:dLbl>
              <c:idx val="4"/>
              <c:layout>
                <c:manualLayout>
                  <c:x val="6.441222743568667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33F-4E2D-9042-D2E4B97EE86A}"/>
                </c:ext>
              </c:extLst>
            </c:dLbl>
            <c:dLbl>
              <c:idx val="5"/>
              <c:layout>
                <c:manualLayout>
                  <c:x val="0"/>
                  <c:y val="1.69670142583528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33F-4E2D-9042-D2E4B97EE86A}"/>
                </c:ext>
              </c:extLst>
            </c:dLbl>
            <c:dLbl>
              <c:idx val="6"/>
              <c:layout>
                <c:manualLayout>
                  <c:x val="-7.8725146315120047E-17"/>
                  <c:y val="9.25925925925928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33F-4E2D-9042-D2E4B97EE86A}"/>
                </c:ext>
              </c:extLst>
            </c:dLbl>
            <c:dLbl>
              <c:idx val="7"/>
              <c:layout>
                <c:manualLayout>
                  <c:x val="0"/>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33F-4E2D-9042-D2E4B97EE86A}"/>
                </c:ext>
              </c:extLst>
            </c:dLbl>
            <c:dLbl>
              <c:idx val="8"/>
              <c:layout>
                <c:manualLayout>
                  <c:x val="-2.1470746108427268E-3"/>
                  <c:y val="1.69670142583528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33F-4E2D-9042-D2E4B97EE86A}"/>
                </c:ext>
              </c:extLst>
            </c:dLbl>
            <c:dLbl>
              <c:idx val="9"/>
              <c:layout>
                <c:manualLayout>
                  <c:x val="0"/>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33F-4E2D-9042-D2E4B97EE86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Лист1!$C$10:$C$19</c:f>
              <c:strCache>
                <c:ptCount val="10"/>
                <c:pt idx="0">
                  <c:v>Москва</c:v>
                </c:pt>
                <c:pt idx="1">
                  <c:v>Санкт-Петербург</c:v>
                </c:pt>
                <c:pt idx="2">
                  <c:v>Московская область</c:v>
                </c:pt>
                <c:pt idx="3">
                  <c:v>Республика Татарстан</c:v>
                </c:pt>
                <c:pt idx="4">
                  <c:v>Нижегородская область</c:v>
                </c:pt>
                <c:pt idx="5">
                  <c:v>Свердловская область</c:v>
                </c:pt>
                <c:pt idx="6">
                  <c:v>Пермский край</c:v>
                </c:pt>
                <c:pt idx="7">
                  <c:v>Самарская область</c:v>
                </c:pt>
                <c:pt idx="8">
                  <c:v>Республика Башкортостан</c:v>
                </c:pt>
                <c:pt idx="9">
                  <c:v>Челябинская область</c:v>
                </c:pt>
              </c:strCache>
            </c:strRef>
          </c:cat>
          <c:val>
            <c:numRef>
              <c:f>Лист1!$E$10:$E$19</c:f>
              <c:numCache>
                <c:formatCode>General</c:formatCode>
                <c:ptCount val="10"/>
                <c:pt idx="0">
                  <c:v>5</c:v>
                </c:pt>
                <c:pt idx="1">
                  <c:v>4.4400000000000004</c:v>
                </c:pt>
                <c:pt idx="2">
                  <c:v>4.08</c:v>
                </c:pt>
                <c:pt idx="3">
                  <c:v>3.78</c:v>
                </c:pt>
                <c:pt idx="4">
                  <c:v>3.52</c:v>
                </c:pt>
                <c:pt idx="5">
                  <c:v>3.42</c:v>
                </c:pt>
                <c:pt idx="6">
                  <c:v>3.25</c:v>
                </c:pt>
                <c:pt idx="7">
                  <c:v>3.09</c:v>
                </c:pt>
                <c:pt idx="8">
                  <c:v>3.04</c:v>
                </c:pt>
                <c:pt idx="9">
                  <c:v>3</c:v>
                </c:pt>
              </c:numCache>
            </c:numRef>
          </c:val>
          <c:extLst>
            <c:ext xmlns:c16="http://schemas.microsoft.com/office/drawing/2014/chart" uri="{C3380CC4-5D6E-409C-BE32-E72D297353CC}">
              <c16:uniqueId val="{00000012-F33F-4E2D-9042-D2E4B97EE86A}"/>
            </c:ext>
          </c:extLst>
        </c:ser>
        <c:dLbls>
          <c:dLblPos val="outEnd"/>
          <c:showLegendKey val="0"/>
          <c:showVal val="1"/>
          <c:showCatName val="0"/>
          <c:showSerName val="0"/>
          <c:showPercent val="0"/>
          <c:showBubbleSize val="0"/>
        </c:dLbls>
        <c:gapWidth val="80"/>
        <c:axId val="1270861792"/>
        <c:axId val="1270863040"/>
      </c:barChart>
      <c:catAx>
        <c:axId val="127086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0863040"/>
        <c:crosses val="autoZero"/>
        <c:auto val="1"/>
        <c:lblAlgn val="ctr"/>
        <c:lblOffset val="100"/>
        <c:noMultiLvlLbl val="0"/>
      </c:catAx>
      <c:valAx>
        <c:axId val="12708630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086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Лист1!$F$45</c:f>
              <c:strCache>
                <c:ptCount val="1"/>
                <c:pt idx="0">
                  <c:v>Незначительное влияние</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Лист1!$C$46:$C$55</c:f>
              <c:strCache>
                <c:ptCount val="10"/>
                <c:pt idx="0">
                  <c:v>Развитие транспортного хоз-ва области</c:v>
                </c:pt>
                <c:pt idx="1">
                  <c:v>Совершенствование законодательства</c:v>
                </c:pt>
                <c:pt idx="2">
                  <c:v>Уровень экономического развития</c:v>
                </c:pt>
                <c:pt idx="3">
                  <c:v>Увеличение энергетических мощностей региона</c:v>
                </c:pt>
                <c:pt idx="4">
                  <c:v>Мера вмешательства властных структур в бизнес</c:v>
                </c:pt>
                <c:pt idx="5">
                  <c:v>Политическая ситуация</c:v>
                </c:pt>
                <c:pt idx="6">
                  <c:v>Внешнеэкономическая деятельность региона</c:v>
                </c:pt>
                <c:pt idx="7">
                  <c:v>Коррупция</c:v>
                </c:pt>
                <c:pt idx="8">
                  <c:v>Создание льготных условий для инвесторов</c:v>
                </c:pt>
                <c:pt idx="9">
                  <c:v>Внешние экономические санкции</c:v>
                </c:pt>
              </c:strCache>
            </c:strRef>
          </c:cat>
          <c:val>
            <c:numRef>
              <c:f>Лист1!$F$46:$F$55</c:f>
              <c:numCache>
                <c:formatCode>General</c:formatCode>
                <c:ptCount val="10"/>
                <c:pt idx="0">
                  <c:v>48.6</c:v>
                </c:pt>
                <c:pt idx="1">
                  <c:v>2.7</c:v>
                </c:pt>
                <c:pt idx="2">
                  <c:v>8.1</c:v>
                </c:pt>
                <c:pt idx="3">
                  <c:v>18.899999999999999</c:v>
                </c:pt>
                <c:pt idx="4">
                  <c:v>32.9</c:v>
                </c:pt>
                <c:pt idx="5">
                  <c:v>2.8</c:v>
                </c:pt>
                <c:pt idx="6">
                  <c:v>35.1</c:v>
                </c:pt>
                <c:pt idx="7">
                  <c:v>10.8</c:v>
                </c:pt>
                <c:pt idx="8">
                  <c:v>2.7</c:v>
                </c:pt>
                <c:pt idx="9">
                  <c:v>13.5</c:v>
                </c:pt>
              </c:numCache>
            </c:numRef>
          </c:val>
          <c:extLst>
            <c:ext xmlns:c16="http://schemas.microsoft.com/office/drawing/2014/chart" uri="{C3380CC4-5D6E-409C-BE32-E72D297353CC}">
              <c16:uniqueId val="{00000000-C50B-44A6-899E-306BF9EB2F66}"/>
            </c:ext>
          </c:extLst>
        </c:ser>
        <c:ser>
          <c:idx val="1"/>
          <c:order val="1"/>
          <c:tx>
            <c:strRef>
              <c:f>Лист1!$E$45</c:f>
              <c:strCache>
                <c:ptCount val="1"/>
                <c:pt idx="0">
                  <c:v>Средняя</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Лист1!$C$46:$C$55</c:f>
              <c:strCache>
                <c:ptCount val="10"/>
                <c:pt idx="0">
                  <c:v>Развитие транспортного хоз-ва области</c:v>
                </c:pt>
                <c:pt idx="1">
                  <c:v>Совершенствование законодательства</c:v>
                </c:pt>
                <c:pt idx="2">
                  <c:v>Уровень экономического развития</c:v>
                </c:pt>
                <c:pt idx="3">
                  <c:v>Увеличение энергетических мощностей региона</c:v>
                </c:pt>
                <c:pt idx="4">
                  <c:v>Мера вмешательства властных структур в бизнес</c:v>
                </c:pt>
                <c:pt idx="5">
                  <c:v>Политическая ситуация</c:v>
                </c:pt>
                <c:pt idx="6">
                  <c:v>Внешнеэкономическая деятельность региона</c:v>
                </c:pt>
                <c:pt idx="7">
                  <c:v>Коррупция</c:v>
                </c:pt>
                <c:pt idx="8">
                  <c:v>Создание льготных условий для инвесторов</c:v>
                </c:pt>
                <c:pt idx="9">
                  <c:v>Внешние экономические санкции</c:v>
                </c:pt>
              </c:strCache>
            </c:strRef>
          </c:cat>
          <c:val>
            <c:numRef>
              <c:f>Лист1!$E$46:$E$55</c:f>
              <c:numCache>
                <c:formatCode>General</c:formatCode>
                <c:ptCount val="10"/>
                <c:pt idx="0">
                  <c:v>40.6</c:v>
                </c:pt>
                <c:pt idx="1">
                  <c:v>62.2</c:v>
                </c:pt>
                <c:pt idx="2">
                  <c:v>54.1</c:v>
                </c:pt>
                <c:pt idx="3">
                  <c:v>37.799999999999997</c:v>
                </c:pt>
                <c:pt idx="4">
                  <c:v>21.6</c:v>
                </c:pt>
                <c:pt idx="5">
                  <c:v>48.6</c:v>
                </c:pt>
                <c:pt idx="6">
                  <c:v>16.3</c:v>
                </c:pt>
                <c:pt idx="7">
                  <c:v>37.799999999999997</c:v>
                </c:pt>
                <c:pt idx="8">
                  <c:v>40.5</c:v>
                </c:pt>
                <c:pt idx="9">
                  <c:v>27</c:v>
                </c:pt>
              </c:numCache>
            </c:numRef>
          </c:val>
          <c:extLst>
            <c:ext xmlns:c16="http://schemas.microsoft.com/office/drawing/2014/chart" uri="{C3380CC4-5D6E-409C-BE32-E72D297353CC}">
              <c16:uniqueId val="{00000001-C50B-44A6-899E-306BF9EB2F66}"/>
            </c:ext>
          </c:extLst>
        </c:ser>
        <c:ser>
          <c:idx val="0"/>
          <c:order val="2"/>
          <c:tx>
            <c:strRef>
              <c:f>Лист1!$D$45</c:f>
              <c:strCache>
                <c:ptCount val="1"/>
                <c:pt idx="0">
                  <c:v>Значительная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5"/>
              <c:layout>
                <c:manualLayout>
                  <c:x val="0"/>
                  <c:y val="-1.17994100294985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0B-44A6-899E-306BF9EB2F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Лист1!$C$46:$C$55</c:f>
              <c:strCache>
                <c:ptCount val="10"/>
                <c:pt idx="0">
                  <c:v>Развитие транспортного хоз-ва области</c:v>
                </c:pt>
                <c:pt idx="1">
                  <c:v>Совершенствование законодательства</c:v>
                </c:pt>
                <c:pt idx="2">
                  <c:v>Уровень экономического развития</c:v>
                </c:pt>
                <c:pt idx="3">
                  <c:v>Увеличение энергетических мощностей региона</c:v>
                </c:pt>
                <c:pt idx="4">
                  <c:v>Мера вмешательства властных структур в бизнес</c:v>
                </c:pt>
                <c:pt idx="5">
                  <c:v>Политическая ситуация</c:v>
                </c:pt>
                <c:pt idx="6">
                  <c:v>Внешнеэкономическая деятельность региона</c:v>
                </c:pt>
                <c:pt idx="7">
                  <c:v>Коррупция</c:v>
                </c:pt>
                <c:pt idx="8">
                  <c:v>Создание льготных условий для инвесторов</c:v>
                </c:pt>
                <c:pt idx="9">
                  <c:v>Внешние экономические санкции</c:v>
                </c:pt>
              </c:strCache>
            </c:strRef>
          </c:cat>
          <c:val>
            <c:numRef>
              <c:f>Лист1!$D$46:$D$55</c:f>
              <c:numCache>
                <c:formatCode>General</c:formatCode>
                <c:ptCount val="10"/>
                <c:pt idx="0">
                  <c:v>10.8</c:v>
                </c:pt>
                <c:pt idx="1">
                  <c:v>35.1</c:v>
                </c:pt>
                <c:pt idx="2">
                  <c:v>37.799999999999997</c:v>
                </c:pt>
                <c:pt idx="3">
                  <c:v>43.2</c:v>
                </c:pt>
                <c:pt idx="4">
                  <c:v>46.9</c:v>
                </c:pt>
                <c:pt idx="5">
                  <c:v>48.6</c:v>
                </c:pt>
                <c:pt idx="6">
                  <c:v>48.6</c:v>
                </c:pt>
                <c:pt idx="7">
                  <c:v>51.4</c:v>
                </c:pt>
                <c:pt idx="8">
                  <c:v>56.8</c:v>
                </c:pt>
                <c:pt idx="9">
                  <c:v>59.5</c:v>
                </c:pt>
              </c:numCache>
            </c:numRef>
          </c:val>
          <c:extLst>
            <c:ext xmlns:c16="http://schemas.microsoft.com/office/drawing/2014/chart" uri="{C3380CC4-5D6E-409C-BE32-E72D297353CC}">
              <c16:uniqueId val="{00000003-C50B-44A6-899E-306BF9EB2F66}"/>
            </c:ext>
          </c:extLst>
        </c:ser>
        <c:dLbls>
          <c:dLblPos val="outEnd"/>
          <c:showLegendKey val="0"/>
          <c:showVal val="1"/>
          <c:showCatName val="0"/>
          <c:showSerName val="0"/>
          <c:showPercent val="0"/>
          <c:showBubbleSize val="0"/>
        </c:dLbls>
        <c:gapWidth val="115"/>
        <c:overlap val="-20"/>
        <c:axId val="1366994944"/>
        <c:axId val="1366993696"/>
      </c:barChart>
      <c:catAx>
        <c:axId val="1366994944"/>
        <c:scaling>
          <c:orientation val="minMax"/>
        </c:scaling>
        <c:delete val="0"/>
        <c:axPos val="l"/>
        <c:numFmt formatCode="General" sourceLinked="1"/>
        <c:majorTickMark val="none"/>
        <c:minorTickMark val="none"/>
        <c:tickLblPos val="nextTo"/>
        <c:spPr>
          <a:noFill/>
          <a:ln w="12700" cap="flat" cmpd="sng" algn="ctr">
            <a:no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1366993696"/>
        <c:crosses val="autoZero"/>
        <c:auto val="1"/>
        <c:lblAlgn val="ctr"/>
        <c:lblOffset val="100"/>
        <c:noMultiLvlLbl val="0"/>
      </c:catAx>
      <c:valAx>
        <c:axId val="1366993696"/>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366994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a:noFill/>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8">
  <a:schemeClr val="accent5"/>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0.19167</cdr:x>
      <cdr:y>0.34722</cdr:y>
    </cdr:from>
    <cdr:to>
      <cdr:x>0.30833</cdr:x>
      <cdr:y>0.44444</cdr:y>
    </cdr:to>
    <cdr:sp macro="" textlink="">
      <cdr:nvSpPr>
        <cdr:cNvPr id="2" name="TextBox 1"/>
        <cdr:cNvSpPr txBox="1"/>
      </cdr:nvSpPr>
      <cdr:spPr>
        <a:xfrm xmlns:a="http://schemas.openxmlformats.org/drawingml/2006/main">
          <a:off x="876300" y="952500"/>
          <a:ext cx="53340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1 405</a:t>
          </a:r>
        </a:p>
      </cdr:txBody>
    </cdr:sp>
  </cdr:relSizeAnchor>
  <cdr:relSizeAnchor xmlns:cdr="http://schemas.openxmlformats.org/drawingml/2006/chartDrawing">
    <cdr:from>
      <cdr:x>0.31111</cdr:x>
      <cdr:y>0.33102</cdr:y>
    </cdr:from>
    <cdr:to>
      <cdr:x>0.42778</cdr:x>
      <cdr:y>0.42824</cdr:y>
    </cdr:to>
    <cdr:sp macro="" textlink="">
      <cdr:nvSpPr>
        <cdr:cNvPr id="3" name="TextBox 1"/>
        <cdr:cNvSpPr txBox="1"/>
      </cdr:nvSpPr>
      <cdr:spPr>
        <a:xfrm xmlns:a="http://schemas.openxmlformats.org/drawingml/2006/main">
          <a:off x="1422400" y="908050"/>
          <a:ext cx="533400" cy="2667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a:t>1 473</a:t>
          </a:r>
        </a:p>
      </cdr:txBody>
    </cdr:sp>
  </cdr:relSizeAnchor>
  <cdr:relSizeAnchor xmlns:cdr="http://schemas.openxmlformats.org/drawingml/2006/chartDrawing">
    <cdr:from>
      <cdr:x>0.43819</cdr:x>
      <cdr:y>0.21991</cdr:y>
    </cdr:from>
    <cdr:to>
      <cdr:x>0.55486</cdr:x>
      <cdr:y>0.31713</cdr:y>
    </cdr:to>
    <cdr:sp macro="" textlink="">
      <cdr:nvSpPr>
        <cdr:cNvPr id="4" name="TextBox 1"/>
        <cdr:cNvSpPr txBox="1"/>
      </cdr:nvSpPr>
      <cdr:spPr>
        <a:xfrm xmlns:a="http://schemas.openxmlformats.org/drawingml/2006/main">
          <a:off x="2003425" y="603250"/>
          <a:ext cx="533400" cy="2667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a:t>1 954</a:t>
          </a:r>
        </a:p>
      </cdr:txBody>
    </cdr:sp>
  </cdr:relSizeAnchor>
  <cdr:relSizeAnchor xmlns:cdr="http://schemas.openxmlformats.org/drawingml/2006/chartDrawing">
    <cdr:from>
      <cdr:x>0.55903</cdr:x>
      <cdr:y>0.18171</cdr:y>
    </cdr:from>
    <cdr:to>
      <cdr:x>0.67569</cdr:x>
      <cdr:y>0.27894</cdr:y>
    </cdr:to>
    <cdr:sp macro="" textlink="">
      <cdr:nvSpPr>
        <cdr:cNvPr id="5" name="TextBox 1"/>
        <cdr:cNvSpPr txBox="1"/>
      </cdr:nvSpPr>
      <cdr:spPr>
        <a:xfrm xmlns:a="http://schemas.openxmlformats.org/drawingml/2006/main">
          <a:off x="2555875" y="498475"/>
          <a:ext cx="533400" cy="2667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a:t>2 134</a:t>
          </a:r>
        </a:p>
      </cdr:txBody>
    </cdr:sp>
  </cdr:relSizeAnchor>
  <cdr:relSizeAnchor xmlns:cdr="http://schemas.openxmlformats.org/drawingml/2006/chartDrawing">
    <cdr:from>
      <cdr:x>0.68819</cdr:x>
      <cdr:y>0.12963</cdr:y>
    </cdr:from>
    <cdr:to>
      <cdr:x>0.80486</cdr:x>
      <cdr:y>0.22685</cdr:y>
    </cdr:to>
    <cdr:sp macro="" textlink="">
      <cdr:nvSpPr>
        <cdr:cNvPr id="7" name="TextBox 1"/>
        <cdr:cNvSpPr txBox="1"/>
      </cdr:nvSpPr>
      <cdr:spPr>
        <a:xfrm xmlns:a="http://schemas.openxmlformats.org/drawingml/2006/main">
          <a:off x="3146425" y="355600"/>
          <a:ext cx="533400" cy="2667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a:t>2 380</a:t>
          </a:r>
        </a:p>
      </cdr:txBody>
    </cdr:sp>
  </cdr:relSizeAnchor>
  <cdr:relSizeAnchor xmlns:cdr="http://schemas.openxmlformats.org/drawingml/2006/chartDrawing">
    <cdr:from>
      <cdr:x>0.80903</cdr:x>
      <cdr:y>0.06019</cdr:y>
    </cdr:from>
    <cdr:to>
      <cdr:x>0.92569</cdr:x>
      <cdr:y>0.15741</cdr:y>
    </cdr:to>
    <cdr:sp macro="" textlink="">
      <cdr:nvSpPr>
        <cdr:cNvPr id="8" name="TextBox 1"/>
        <cdr:cNvSpPr txBox="1"/>
      </cdr:nvSpPr>
      <cdr:spPr>
        <a:xfrm xmlns:a="http://schemas.openxmlformats.org/drawingml/2006/main">
          <a:off x="3698875" y="165100"/>
          <a:ext cx="533400" cy="2667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a:t>2</a:t>
          </a:r>
          <a:r>
            <a:rPr lang="ru-RU" sz="1100" baseline="0"/>
            <a:t> 663</a:t>
          </a:r>
          <a:endParaRPr lang="ru-RU" sz="1100"/>
        </a:p>
      </cdr:txBody>
    </cdr:sp>
  </cdr:relSizeAnchor>
</c:userShapes>
</file>

<file path=word/drawings/drawing2.xml><?xml version="1.0" encoding="utf-8"?>
<c:userShapes xmlns:c="http://schemas.openxmlformats.org/drawingml/2006/chart">
  <cdr:relSizeAnchor xmlns:cdr="http://schemas.openxmlformats.org/drawingml/2006/chartDrawing">
    <cdr:from>
      <cdr:x>0.62939</cdr:x>
      <cdr:y>0.92767</cdr:y>
    </cdr:from>
    <cdr:to>
      <cdr:x>0.68351</cdr:x>
      <cdr:y>0.98742</cdr:y>
    </cdr:to>
    <cdr:sp macro="" textlink="">
      <cdr:nvSpPr>
        <cdr:cNvPr id="2" name="Прямоугольник 1"/>
        <cdr:cNvSpPr/>
      </cdr:nvSpPr>
      <cdr:spPr>
        <a:xfrm xmlns:a="http://schemas.openxmlformats.org/drawingml/2006/main">
          <a:off x="3866734" y="2809875"/>
          <a:ext cx="332516" cy="180975"/>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82</Pages>
  <Words>17695</Words>
  <Characters>100866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Mugivara</dc:creator>
  <cp:keywords/>
  <dc:description/>
  <cp:lastModifiedBy>Mugivara</cp:lastModifiedBy>
  <cp:revision>2</cp:revision>
  <dcterms:created xsi:type="dcterms:W3CDTF">2024-06-17T23:51:00Z</dcterms:created>
  <dcterms:modified xsi:type="dcterms:W3CDTF">2024-06-17T23:52:00Z</dcterms:modified>
</cp:coreProperties>
</file>